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2FCD1769" w:rsidP="73F99B3C" w:rsidRDefault="2FCD1769" w14:paraId="67BAC791" w14:textId="27AA0FD1">
      <w:pPr>
        <w:rPr>
          <w:b w:val="1"/>
          <w:bCs w:val="1"/>
          <w:sz w:val="28"/>
          <w:szCs w:val="28"/>
          <w:lang w:val="en-US"/>
        </w:rPr>
      </w:pPr>
      <w:r w:rsidRPr="73F99B3C" w:rsidR="2FCD1769">
        <w:rPr>
          <w:b w:val="1"/>
          <w:bCs w:val="1"/>
          <w:sz w:val="28"/>
          <w:szCs w:val="28"/>
          <w:lang w:val="en-US"/>
        </w:rPr>
        <w:t>Taxonomy 2020</w:t>
      </w:r>
    </w:p>
    <w:p w:rsidR="00396035" w:rsidP="00313F32" w:rsidRDefault="009B5D75" w14:paraId="53E30C2E" w14:textId="71189BE8">
      <w:pPr>
        <w:rPr>
          <w:lang w:val="en-US"/>
        </w:rPr>
      </w:pPr>
      <w:r w:rsidRPr="00247526">
        <w:rPr>
          <w:lang w:val="en-US"/>
        </w:rPr>
        <w:t xml:space="preserve">The Swedish Wood-Fuel Association is an organization for Swedish producers of solid wood fuels within the forest and recycling industry. </w:t>
      </w:r>
      <w:r w:rsidRPr="00247526" w:rsidR="003560CD">
        <w:rPr>
          <w:lang w:val="en-US"/>
        </w:rPr>
        <w:t>We see that bioenergy is an essential key to leave the fossil dependence</w:t>
      </w:r>
      <w:r w:rsidRPr="00247526" w:rsidR="00FA4D1D">
        <w:rPr>
          <w:lang w:val="en-US"/>
        </w:rPr>
        <w:t>.</w:t>
      </w:r>
      <w:r w:rsidR="00AC2798">
        <w:rPr>
          <w:lang w:val="en-US"/>
        </w:rPr>
        <w:t xml:space="preserve"> </w:t>
      </w:r>
      <w:r w:rsidRPr="00AC2798" w:rsidR="00AC2798">
        <w:rPr>
          <w:lang w:val="en-US"/>
        </w:rPr>
        <w:t xml:space="preserve">Recent European Commission strategies underline that sustainable bioenergy is “a win-win solution for energy generation” </w:t>
      </w:r>
      <w:r w:rsidR="00313F32">
        <w:rPr>
          <w:lang w:val="en-US"/>
        </w:rPr>
        <w:t>(</w:t>
      </w:r>
      <w:hyperlink w:history="1" r:id="rId8">
        <w:r w:rsidRPr="00117394" w:rsidR="00313F32">
          <w:rPr>
            <w:rStyle w:val="Hyperlnk"/>
            <w:lang w:val="en-IE"/>
          </w:rPr>
          <w:t>COM(2020) 380 final,</w:t>
        </w:r>
      </w:hyperlink>
      <w:r w:rsidR="00313F32">
        <w:rPr>
          <w:lang w:val="en-IE"/>
        </w:rPr>
        <w:t xml:space="preserve"> EU Biodiversity Strategy 2030, p.10</w:t>
      </w:r>
      <w:r w:rsidR="00345221">
        <w:rPr>
          <w:lang w:val="en-IE"/>
        </w:rPr>
        <w:t xml:space="preserve">) </w:t>
      </w:r>
      <w:r w:rsidRPr="00AC2798" w:rsidR="00AC2798">
        <w:rPr>
          <w:lang w:val="en-US"/>
        </w:rPr>
        <w:t>and count on an increased mobilization of waste and residues for bioenergy generation to achieve a smart sector integration</w:t>
      </w:r>
      <w:r w:rsidR="00345221">
        <w:rPr>
          <w:lang w:val="en-US"/>
        </w:rPr>
        <w:t xml:space="preserve"> (</w:t>
      </w:r>
      <w:hyperlink w:history="1" r:id="rId9">
        <w:r w:rsidRPr="00135C5B" w:rsidR="00345221">
          <w:rPr>
            <w:rStyle w:val="Hyperlnk"/>
            <w:lang w:val="fr-BE"/>
          </w:rPr>
          <w:t>COM(2020) 299 final</w:t>
        </w:r>
      </w:hyperlink>
      <w:r w:rsidRPr="00135C5B" w:rsidR="00345221">
        <w:rPr>
          <w:lang w:val="fr-BE"/>
        </w:rPr>
        <w:t>, p.6</w:t>
      </w:r>
      <w:r w:rsidR="00345221">
        <w:rPr>
          <w:lang w:val="fr-BE"/>
        </w:rPr>
        <w:t>)</w:t>
      </w:r>
      <w:r w:rsidRPr="00AC2798" w:rsidR="00AC2798">
        <w:rPr>
          <w:lang w:val="en-US"/>
        </w:rPr>
        <w:t xml:space="preserve">. The achievement of the 2050 carbon neutrality goal will also depend on bioenergy generation. Sustainable bioenergy will still be the largest renewable in 2030 in the EU, standing at the forecasts included in the Integrated National Energy and Climate Plans. </w:t>
      </w:r>
      <w:r w:rsidRPr="00247526" w:rsidR="00FA4D1D">
        <w:rPr>
          <w:lang w:val="en-US"/>
        </w:rPr>
        <w:t xml:space="preserve"> </w:t>
      </w:r>
    </w:p>
    <w:p w:rsidR="00EA7C08" w:rsidP="00313F32" w:rsidRDefault="0064575A" w14:paraId="200086BE" w14:textId="6FE8F199">
      <w:pPr>
        <w:rPr>
          <w:lang w:val="en-US"/>
        </w:rPr>
      </w:pPr>
      <w:r>
        <w:rPr>
          <w:lang w:val="en-US"/>
        </w:rPr>
        <w:t xml:space="preserve">The Swedish Wood-Fuel </w:t>
      </w:r>
      <w:r w:rsidR="00FE5055">
        <w:rPr>
          <w:lang w:val="en-US"/>
        </w:rPr>
        <w:t xml:space="preserve">Association welcomes the ambitions in EU to reach for </w:t>
      </w:r>
      <w:r w:rsidR="00FE4906">
        <w:rPr>
          <w:lang w:val="en-US"/>
        </w:rPr>
        <w:t xml:space="preserve">sustainability and climate neutrality. This proposal will however not lead EU in that direction. </w:t>
      </w:r>
      <w:r w:rsidR="00977B09">
        <w:rPr>
          <w:lang w:val="en-US"/>
        </w:rPr>
        <w:t xml:space="preserve">The delegated acts </w:t>
      </w:r>
      <w:r w:rsidR="00EA7C08">
        <w:rPr>
          <w:lang w:val="en-US"/>
        </w:rPr>
        <w:t>are</w:t>
      </w:r>
      <w:r w:rsidR="00977B09">
        <w:rPr>
          <w:lang w:val="en-US"/>
        </w:rPr>
        <w:t xml:space="preserve"> not taking in consideration the possibilities of </w:t>
      </w:r>
      <w:r w:rsidR="00F261E5">
        <w:rPr>
          <w:lang w:val="en-US"/>
        </w:rPr>
        <w:t>EUs growing forest and the potential in substituting fossil products and energy</w:t>
      </w:r>
      <w:r w:rsidR="00A439B2">
        <w:rPr>
          <w:lang w:val="en-US"/>
        </w:rPr>
        <w:t xml:space="preserve">. </w:t>
      </w:r>
      <w:r w:rsidR="00EA7C08">
        <w:rPr>
          <w:lang w:val="en-US"/>
        </w:rPr>
        <w:t>Also,</w:t>
      </w:r>
      <w:r w:rsidR="00A439B2">
        <w:rPr>
          <w:lang w:val="en-US"/>
        </w:rPr>
        <w:t xml:space="preserve"> EU is heavily depending on import of natural gas, </w:t>
      </w:r>
      <w:proofErr w:type="gramStart"/>
      <w:r w:rsidR="00A439B2">
        <w:rPr>
          <w:lang w:val="en-US"/>
        </w:rPr>
        <w:t>oil</w:t>
      </w:r>
      <w:proofErr w:type="gramEnd"/>
      <w:r w:rsidR="00A439B2">
        <w:rPr>
          <w:lang w:val="en-US"/>
        </w:rPr>
        <w:t xml:space="preserve"> and coal</w:t>
      </w:r>
      <w:r w:rsidR="00167992">
        <w:rPr>
          <w:lang w:val="en-US"/>
        </w:rPr>
        <w:t xml:space="preserve">. </w:t>
      </w:r>
      <w:r w:rsidR="00ED0A3F">
        <w:rPr>
          <w:lang w:val="en-US"/>
        </w:rPr>
        <w:t xml:space="preserve">We think that is </w:t>
      </w:r>
      <w:r w:rsidR="009470C9">
        <w:rPr>
          <w:lang w:val="en-US"/>
        </w:rPr>
        <w:t>unacceptable</w:t>
      </w:r>
      <w:r w:rsidR="00ED0A3F">
        <w:rPr>
          <w:lang w:val="en-US"/>
        </w:rPr>
        <w:t xml:space="preserve"> that natural gas </w:t>
      </w:r>
      <w:r w:rsidR="009470C9">
        <w:rPr>
          <w:lang w:val="en-US"/>
        </w:rPr>
        <w:t xml:space="preserve">(a fossil fuel) </w:t>
      </w:r>
      <w:proofErr w:type="gramStart"/>
      <w:r w:rsidR="00ED0A3F">
        <w:rPr>
          <w:lang w:val="en-US"/>
        </w:rPr>
        <w:t>get</w:t>
      </w:r>
      <w:proofErr w:type="gramEnd"/>
      <w:r w:rsidR="00ED0A3F">
        <w:rPr>
          <w:lang w:val="en-US"/>
        </w:rPr>
        <w:t xml:space="preserve"> </w:t>
      </w:r>
      <w:r w:rsidR="009470C9">
        <w:rPr>
          <w:lang w:val="en-US"/>
        </w:rPr>
        <w:t>a free-ride</w:t>
      </w:r>
      <w:r w:rsidR="002E48B3">
        <w:rPr>
          <w:lang w:val="en-US"/>
        </w:rPr>
        <w:t xml:space="preserve"> in the short term. </w:t>
      </w:r>
      <w:r w:rsidR="00EC39BF">
        <w:rPr>
          <w:lang w:val="en-US"/>
        </w:rPr>
        <w:t xml:space="preserve">Bioenergy is one of the largest key players to </w:t>
      </w:r>
      <w:r w:rsidR="00BD525A">
        <w:rPr>
          <w:lang w:val="en-US"/>
        </w:rPr>
        <w:t xml:space="preserve">get rid of fossil dependency, both in transport, </w:t>
      </w:r>
      <w:r w:rsidR="00EA7C08">
        <w:rPr>
          <w:lang w:val="en-US"/>
        </w:rPr>
        <w:t>heating/</w:t>
      </w:r>
      <w:proofErr w:type="gramStart"/>
      <w:r w:rsidR="00EA7C08">
        <w:rPr>
          <w:lang w:val="en-US"/>
        </w:rPr>
        <w:t>cooling</w:t>
      </w:r>
      <w:proofErr w:type="gramEnd"/>
      <w:r w:rsidR="00EA7C08">
        <w:rPr>
          <w:lang w:val="en-US"/>
        </w:rPr>
        <w:t xml:space="preserve"> and industry processes.</w:t>
      </w:r>
      <w:r w:rsidR="006B39C6">
        <w:rPr>
          <w:lang w:val="en-US"/>
        </w:rPr>
        <w:t xml:space="preserve"> Bioenergy is not a temporary solution</w:t>
      </w:r>
      <w:r w:rsidR="00734248">
        <w:rPr>
          <w:lang w:val="en-US"/>
        </w:rPr>
        <w:t xml:space="preserve">. Renewables </w:t>
      </w:r>
      <w:r w:rsidR="009028D4">
        <w:rPr>
          <w:lang w:val="en-US"/>
        </w:rPr>
        <w:t>must</w:t>
      </w:r>
      <w:r w:rsidR="00734248">
        <w:rPr>
          <w:lang w:val="en-US"/>
        </w:rPr>
        <w:t xml:space="preserve"> work together in a modern and flexible energy system. </w:t>
      </w:r>
    </w:p>
    <w:p w:rsidR="00462452" w:rsidP="00313F32" w:rsidRDefault="00C678F7" w14:paraId="7BF1EFA7" w14:textId="73E7F782">
      <w:pPr>
        <w:rPr>
          <w:lang w:val="en-US"/>
        </w:rPr>
      </w:pPr>
      <w:r>
        <w:rPr>
          <w:lang w:val="en-US"/>
        </w:rPr>
        <w:t xml:space="preserve">Forests are national competence within </w:t>
      </w:r>
      <w:r w:rsidR="00DD6A18">
        <w:rPr>
          <w:lang w:val="en-US"/>
        </w:rPr>
        <w:t xml:space="preserve">EU. </w:t>
      </w:r>
      <w:r w:rsidRPr="003E3FFE" w:rsidR="00DD6A18">
        <w:rPr>
          <w:lang w:val="en-US"/>
        </w:rPr>
        <w:t xml:space="preserve">The proposed </w:t>
      </w:r>
      <w:r w:rsidRPr="003E3FFE" w:rsidR="008F6D20">
        <w:rPr>
          <w:lang w:val="en-US"/>
        </w:rPr>
        <w:t xml:space="preserve">requirements </w:t>
      </w:r>
      <w:r w:rsidR="003E3FFE">
        <w:rPr>
          <w:lang w:val="en-US"/>
        </w:rPr>
        <w:t xml:space="preserve">are </w:t>
      </w:r>
      <w:r w:rsidR="00EA71E1">
        <w:rPr>
          <w:lang w:val="en-US"/>
        </w:rPr>
        <w:t>not taking this in consideration.</w:t>
      </w:r>
      <w:r w:rsidR="00822ABC">
        <w:rPr>
          <w:lang w:val="en-US"/>
        </w:rPr>
        <w:t xml:space="preserve"> </w:t>
      </w:r>
      <w:r w:rsidR="00080D8D">
        <w:rPr>
          <w:lang w:val="en-US"/>
        </w:rPr>
        <w:t xml:space="preserve">The </w:t>
      </w:r>
      <w:r w:rsidR="0059047D">
        <w:rPr>
          <w:lang w:val="en-US"/>
        </w:rPr>
        <w:t xml:space="preserve">requirements </w:t>
      </w:r>
      <w:r w:rsidR="00735C9F">
        <w:rPr>
          <w:lang w:val="en-US"/>
        </w:rPr>
        <w:t>are</w:t>
      </w:r>
      <w:r w:rsidR="0059047D">
        <w:rPr>
          <w:lang w:val="en-US"/>
        </w:rPr>
        <w:t xml:space="preserve"> very </w:t>
      </w:r>
      <w:r w:rsidR="0000656F">
        <w:rPr>
          <w:lang w:val="en-US"/>
        </w:rPr>
        <w:t>detailed,</w:t>
      </w:r>
      <w:r w:rsidR="0059047D">
        <w:rPr>
          <w:lang w:val="en-US"/>
        </w:rPr>
        <w:t xml:space="preserve"> and </w:t>
      </w:r>
      <w:r w:rsidR="00A60301">
        <w:rPr>
          <w:lang w:val="en-US"/>
        </w:rPr>
        <w:t xml:space="preserve">we would like to point out that </w:t>
      </w:r>
      <w:r w:rsidR="00CE6274">
        <w:rPr>
          <w:lang w:val="en-US"/>
        </w:rPr>
        <w:t>i</w:t>
      </w:r>
      <w:r w:rsidRPr="00CE6274" w:rsidR="00CE6274">
        <w:rPr>
          <w:lang w:val="en-US"/>
        </w:rPr>
        <w:t>ncreased administrative requirements do not add any climate benefit</w:t>
      </w:r>
      <w:r w:rsidR="00CE6274">
        <w:rPr>
          <w:lang w:val="en-US"/>
        </w:rPr>
        <w:t>s</w:t>
      </w:r>
      <w:r w:rsidR="00896508">
        <w:rPr>
          <w:lang w:val="en-US"/>
        </w:rPr>
        <w:t xml:space="preserve"> per se</w:t>
      </w:r>
      <w:r w:rsidR="00CE6274">
        <w:rPr>
          <w:lang w:val="en-US"/>
        </w:rPr>
        <w:t>.</w:t>
      </w:r>
      <w:r w:rsidR="00FC0BDD">
        <w:rPr>
          <w:lang w:val="en-US"/>
        </w:rPr>
        <w:t xml:space="preserve"> </w:t>
      </w:r>
      <w:r w:rsidRPr="00080D8D" w:rsidR="00080D8D">
        <w:rPr>
          <w:lang w:val="en-US"/>
        </w:rPr>
        <w:t>The Commission has not formulated the criteria in line with the revised Renewables Directive (RED II), as required by the legislators.</w:t>
      </w:r>
      <w:r w:rsidR="00D37CB9">
        <w:rPr>
          <w:lang w:val="en-US"/>
        </w:rPr>
        <w:t xml:space="preserve"> We also think that it would have been more appropriate to use t</w:t>
      </w:r>
      <w:r w:rsidRPr="00C17D57" w:rsidR="00C17D57">
        <w:rPr>
          <w:lang w:val="en-US"/>
        </w:rPr>
        <w:t>he definition of sustainable forestry as defined by Forest Europe. Forest Europe is the political high-level forum for dialogue and cooperation on forests in Europe</w:t>
      </w:r>
      <w:r w:rsidR="00FF2DD0">
        <w:rPr>
          <w:lang w:val="en-US"/>
        </w:rPr>
        <w:t xml:space="preserve"> (</w:t>
      </w:r>
      <w:hyperlink w:history="1" r:id="rId10">
        <w:r w:rsidRPr="00A74619" w:rsidR="00FF2DD0">
          <w:rPr>
            <w:rStyle w:val="Hyperlnk"/>
            <w:lang w:val="en-US"/>
          </w:rPr>
          <w:t>https://foresteurope.org/</w:t>
        </w:r>
      </w:hyperlink>
      <w:r w:rsidR="00FF2DD0">
        <w:rPr>
          <w:rStyle w:val="Hyperlnk"/>
          <w:lang w:val="en-US"/>
        </w:rPr>
        <w:t>)</w:t>
      </w:r>
      <w:r w:rsidRPr="00C17D57" w:rsidR="00C17D57">
        <w:rPr>
          <w:lang w:val="en-US"/>
        </w:rPr>
        <w:t>.</w:t>
      </w:r>
      <w:r w:rsidR="00462452">
        <w:rPr>
          <w:lang w:val="en-US"/>
        </w:rPr>
        <w:t xml:space="preserve"> </w:t>
      </w:r>
    </w:p>
    <w:p w:rsidRPr="003E3FFE" w:rsidR="00D75145" w:rsidP="00313F32" w:rsidRDefault="00462452" w14:paraId="46B58F56" w14:textId="5865F9DC">
      <w:pPr>
        <w:rPr>
          <w:lang w:val="en-US"/>
        </w:rPr>
      </w:pPr>
      <w:r>
        <w:rPr>
          <w:lang w:val="en-US"/>
        </w:rPr>
        <w:t xml:space="preserve">Under </w:t>
      </w:r>
      <w:r w:rsidRPr="00462452">
        <w:rPr>
          <w:lang w:val="en-US"/>
        </w:rPr>
        <w:t>Afforestation (1.4 Annex II)</w:t>
      </w:r>
      <w:r>
        <w:rPr>
          <w:lang w:val="en-US"/>
        </w:rPr>
        <w:t xml:space="preserve"> we suggest </w:t>
      </w:r>
      <w:r w:rsidR="00372938">
        <w:rPr>
          <w:lang w:val="en-US"/>
        </w:rPr>
        <w:t>removing</w:t>
      </w:r>
      <w:r w:rsidRPr="00462452">
        <w:rPr>
          <w:lang w:val="en-US"/>
        </w:rPr>
        <w:t xml:space="preserve"> reference to use of whole tree stems for bioenerg</w:t>
      </w:r>
      <w:r>
        <w:rPr>
          <w:lang w:val="en-US"/>
        </w:rPr>
        <w:t>y.</w:t>
      </w:r>
      <w:r w:rsidRPr="00462452">
        <w:rPr>
          <w:lang w:val="en-US"/>
        </w:rPr>
        <w:t xml:space="preserve"> </w:t>
      </w:r>
      <w:r w:rsidR="00FA5D8C">
        <w:rPr>
          <w:lang w:val="en-US"/>
        </w:rPr>
        <w:t>“</w:t>
      </w:r>
      <w:r w:rsidRPr="00462452">
        <w:rPr>
          <w:lang w:val="en-US"/>
        </w:rPr>
        <w:t>Whole trees</w:t>
      </w:r>
      <w:r w:rsidR="00FA5D8C">
        <w:rPr>
          <w:lang w:val="en-US"/>
        </w:rPr>
        <w:t xml:space="preserve">” </w:t>
      </w:r>
      <w:r w:rsidRPr="00462452">
        <w:rPr>
          <w:lang w:val="en-US"/>
        </w:rPr>
        <w:t>is an arbitrary categorization that can</w:t>
      </w:r>
      <w:r>
        <w:rPr>
          <w:lang w:val="en-US"/>
        </w:rPr>
        <w:t xml:space="preserve"> </w:t>
      </w:r>
      <w:r w:rsidRPr="00462452">
        <w:rPr>
          <w:lang w:val="en-US"/>
        </w:rPr>
        <w:t xml:space="preserve">refer to high or low value trees in a variety of sizes. Arbitrarily excluding some low-value feedstocks have no practical implications on forestry practices as </w:t>
      </w:r>
      <w:proofErr w:type="spellStart"/>
      <w:r w:rsidRPr="00462452">
        <w:rPr>
          <w:lang w:val="en-US"/>
        </w:rPr>
        <w:t>thinnings</w:t>
      </w:r>
      <w:proofErr w:type="spellEnd"/>
      <w:r>
        <w:rPr>
          <w:lang w:val="en-US"/>
        </w:rPr>
        <w:t xml:space="preserve"> </w:t>
      </w:r>
      <w:r w:rsidRPr="00462452">
        <w:rPr>
          <w:lang w:val="en-US"/>
        </w:rPr>
        <w:t xml:space="preserve">are </w:t>
      </w:r>
      <w:r w:rsidRPr="00462452" w:rsidR="002C241E">
        <w:rPr>
          <w:lang w:val="en-US"/>
        </w:rPr>
        <w:t>main</w:t>
      </w:r>
      <w:r w:rsidR="002C241E">
        <w:rPr>
          <w:lang w:val="en-US"/>
        </w:rPr>
        <w:t>ly</w:t>
      </w:r>
      <w:r w:rsidRPr="00462452">
        <w:rPr>
          <w:lang w:val="en-US"/>
        </w:rPr>
        <w:t xml:space="preserve"> done </w:t>
      </w:r>
      <w:proofErr w:type="gramStart"/>
      <w:r w:rsidRPr="00462452">
        <w:rPr>
          <w:lang w:val="en-US"/>
        </w:rPr>
        <w:t>in order to</w:t>
      </w:r>
      <w:proofErr w:type="gramEnd"/>
      <w:r w:rsidRPr="00462452">
        <w:rPr>
          <w:lang w:val="en-US"/>
        </w:rPr>
        <w:t xml:space="preserve"> </w:t>
      </w:r>
      <w:proofErr w:type="spellStart"/>
      <w:r w:rsidRPr="00462452">
        <w:rPr>
          <w:lang w:val="en-US"/>
        </w:rPr>
        <w:t>maximise</w:t>
      </w:r>
      <w:proofErr w:type="spellEnd"/>
      <w:r w:rsidRPr="00462452">
        <w:rPr>
          <w:lang w:val="en-US"/>
        </w:rPr>
        <w:t xml:space="preserve"> the quality timber production. These</w:t>
      </w:r>
      <w:r w:rsidR="00D24AAE">
        <w:rPr>
          <w:lang w:val="en-US"/>
        </w:rPr>
        <w:t xml:space="preserve"> </w:t>
      </w:r>
      <w:r w:rsidRPr="00462452">
        <w:rPr>
          <w:lang w:val="en-US"/>
        </w:rPr>
        <w:t>small diameter "whole trees" can be considered as residues of timber production.</w:t>
      </w:r>
    </w:p>
    <w:p w:rsidR="005E7C62" w:rsidP="00313F32" w:rsidRDefault="005E7C62" w14:paraId="63B9A3F8" w14:textId="74C573E7">
      <w:pPr>
        <w:rPr>
          <w:lang w:val="en-US"/>
        </w:rPr>
      </w:pPr>
      <w:r w:rsidRPr="005E7C62">
        <w:rPr>
          <w:lang w:val="en-US"/>
        </w:rPr>
        <w:lastRenderedPageBreak/>
        <w:t xml:space="preserve">Deviations from the principle of technology neutrality have been made, </w:t>
      </w:r>
      <w:proofErr w:type="gramStart"/>
      <w:r w:rsidRPr="005E7C62">
        <w:rPr>
          <w:lang w:val="en-US"/>
        </w:rPr>
        <w:t>e.g.</w:t>
      </w:r>
      <w:proofErr w:type="gramEnd"/>
      <w:r w:rsidRPr="005E7C62">
        <w:rPr>
          <w:lang w:val="en-US"/>
        </w:rPr>
        <w:t xml:space="preserve"> in terms of renewable energy, forestry and buildings.</w:t>
      </w:r>
      <w:r w:rsidR="00021388">
        <w:rPr>
          <w:lang w:val="en-US"/>
        </w:rPr>
        <w:t xml:space="preserve"> Also, t</w:t>
      </w:r>
      <w:r w:rsidRPr="00021388" w:rsidR="00021388">
        <w:rPr>
          <w:lang w:val="en-US"/>
        </w:rPr>
        <w:t>he taxonomy is disproportionally favoring electrification and hydrogen</w:t>
      </w:r>
      <w:r w:rsidR="0044563F">
        <w:rPr>
          <w:lang w:val="en-US"/>
        </w:rPr>
        <w:t>.</w:t>
      </w:r>
    </w:p>
    <w:p w:rsidR="008C3084" w:rsidP="00313F32" w:rsidRDefault="00B712E0" w14:paraId="0815F263" w14:textId="587CD32C">
      <w:pPr>
        <w:rPr>
          <w:lang w:val="en-US"/>
        </w:rPr>
      </w:pPr>
      <w:r>
        <w:rPr>
          <w:lang w:val="en-US"/>
        </w:rPr>
        <w:t xml:space="preserve">We see an urgent need that the </w:t>
      </w:r>
      <w:r w:rsidRPr="002D70F0">
        <w:rPr>
          <w:lang w:val="en-US"/>
        </w:rPr>
        <w:t>Commission clearly state</w:t>
      </w:r>
      <w:r>
        <w:rPr>
          <w:lang w:val="en-US"/>
        </w:rPr>
        <w:t>s</w:t>
      </w:r>
      <w:r w:rsidRPr="002D70F0">
        <w:rPr>
          <w:lang w:val="en-US"/>
        </w:rPr>
        <w:t xml:space="preserve"> that research, </w:t>
      </w:r>
      <w:proofErr w:type="gramStart"/>
      <w:r w:rsidRPr="002D70F0">
        <w:rPr>
          <w:lang w:val="en-US"/>
        </w:rPr>
        <w:t>development</w:t>
      </w:r>
      <w:proofErr w:type="gramEnd"/>
      <w:r w:rsidRPr="002D70F0">
        <w:rPr>
          <w:lang w:val="en-US"/>
        </w:rPr>
        <w:t xml:space="preserve"> and innovations in the bioenergy sector contribute substantially to climate change mitigation.</w:t>
      </w:r>
      <w:r w:rsidR="00153F9A">
        <w:rPr>
          <w:lang w:val="en-US"/>
        </w:rPr>
        <w:t xml:space="preserve"> When </w:t>
      </w:r>
      <w:r w:rsidRPr="002D70F0" w:rsidR="002D70F0">
        <w:rPr>
          <w:lang w:val="en-US"/>
        </w:rPr>
        <w:t xml:space="preserve">excluding “transitional activities” and categorizing bioenergy solutions as transitional activities in other parts of the taxonomy, the conclusion is that the Commission does not see research, </w:t>
      </w:r>
      <w:proofErr w:type="gramStart"/>
      <w:r w:rsidRPr="002D70F0" w:rsidR="002D70F0">
        <w:rPr>
          <w:lang w:val="en-US"/>
        </w:rPr>
        <w:t>development</w:t>
      </w:r>
      <w:proofErr w:type="gramEnd"/>
      <w:r w:rsidRPr="002D70F0" w:rsidR="002D70F0">
        <w:rPr>
          <w:lang w:val="en-US"/>
        </w:rPr>
        <w:t xml:space="preserve"> and innovation in bioenergy as a sustainable activity. This is totally unacceptable</w:t>
      </w:r>
      <w:r w:rsidR="003D2DE8">
        <w:rPr>
          <w:lang w:val="en-US"/>
        </w:rPr>
        <w:t xml:space="preserve"> and not in line with </w:t>
      </w:r>
      <w:r w:rsidR="0041209F">
        <w:rPr>
          <w:lang w:val="en-US"/>
        </w:rPr>
        <w:t xml:space="preserve">Horizon </w:t>
      </w:r>
      <w:r w:rsidR="004162C1">
        <w:rPr>
          <w:lang w:val="en-US"/>
        </w:rPr>
        <w:t xml:space="preserve">2020 and Horizon Europe. </w:t>
      </w:r>
      <w:r w:rsidRPr="002D70F0" w:rsidR="002D70F0">
        <w:rPr>
          <w:lang w:val="en-US"/>
        </w:rPr>
        <w:t xml:space="preserve"> </w:t>
      </w:r>
    </w:p>
    <w:p w:rsidRPr="00261382" w:rsidR="008A6EC2" w:rsidP="00313F32" w:rsidRDefault="000964C2" w14:paraId="2C006A23" w14:textId="3046EE84">
      <w:pPr>
        <w:rPr>
          <w:rFonts w:ascii="Calibri" w:hAnsi="Calibri" w:cs="Calibri"/>
          <w:color w:val="3B3838" w:themeColor="background2" w:themeShade="40"/>
          <w:sz w:val="22"/>
          <w:szCs w:val="22"/>
          <w:lang w:val="en-US" w:eastAsia="en-GB"/>
        </w:rPr>
      </w:pPr>
      <w:r>
        <w:rPr>
          <w:lang w:val="en-US"/>
        </w:rPr>
        <w:t>Last</w:t>
      </w:r>
      <w:r w:rsidR="00C72906">
        <w:rPr>
          <w:lang w:val="en-US"/>
        </w:rPr>
        <w:t>,</w:t>
      </w:r>
      <w:r>
        <w:rPr>
          <w:lang w:val="en-US"/>
        </w:rPr>
        <w:t xml:space="preserve"> we would like to point out th</w:t>
      </w:r>
      <w:r w:rsidR="00C72906">
        <w:rPr>
          <w:lang w:val="en-US"/>
        </w:rPr>
        <w:t>at</w:t>
      </w:r>
      <w:r>
        <w:rPr>
          <w:lang w:val="en-US"/>
        </w:rPr>
        <w:t xml:space="preserve"> we </w:t>
      </w:r>
      <w:r w:rsidR="00261382">
        <w:rPr>
          <w:lang w:val="en-US"/>
        </w:rPr>
        <w:t xml:space="preserve">have significant </w:t>
      </w:r>
      <w:r w:rsidRPr="00261382" w:rsidR="00261382">
        <w:rPr>
          <w:lang w:val="en-US"/>
        </w:rPr>
        <w:t xml:space="preserve">concerns about how the process for this delegated act has been carried out. The lack of sectoral involvement can be seen in the complex </w:t>
      </w:r>
      <w:r w:rsidR="00261382">
        <w:rPr>
          <w:lang w:val="en-US"/>
        </w:rPr>
        <w:t xml:space="preserve">and non-relevant </w:t>
      </w:r>
      <w:r w:rsidRPr="00261382" w:rsidR="00261382">
        <w:rPr>
          <w:lang w:val="en-US"/>
        </w:rPr>
        <w:t>criteria</w:t>
      </w:r>
      <w:r w:rsidR="00261382">
        <w:rPr>
          <w:lang w:val="en-US"/>
        </w:rPr>
        <w:t>.</w:t>
      </w:r>
      <w:r>
        <w:rPr>
          <w:lang w:val="en-US"/>
        </w:rPr>
        <w:t xml:space="preserve"> </w:t>
      </w:r>
    </w:p>
    <w:p w:rsidRPr="00261382" w:rsidR="008A6EC2" w:rsidP="001A384E" w:rsidRDefault="008A6EC2" w14:paraId="3D0C488D" w14:textId="77777777">
      <w:pPr>
        <w:jc w:val="both"/>
        <w:rPr>
          <w:lang w:val="en-US"/>
        </w:rPr>
      </w:pPr>
    </w:p>
    <w:p w:rsidRPr="00261382" w:rsidR="008E38D7" w:rsidRDefault="008E38D7" w14:paraId="639B8347" w14:textId="77777777">
      <w:pPr>
        <w:rPr>
          <w:lang w:val="en-US"/>
        </w:rPr>
      </w:pPr>
    </w:p>
    <w:sectPr w:rsidRPr="00261382" w:rsidR="008E38D7" w:rsidSect="00A9100F">
      <w:headerReference w:type="first" r:id="rId11"/>
      <w:pgSz w:w="11906" w:h="16838" w:orient="portrait" w:code="9"/>
      <w:pgMar w:top="2268" w:right="1418" w:bottom="1418" w:left="1418" w:header="96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3A02" w:rsidP="008E38D7" w:rsidRDefault="00003A02" w14:paraId="45C2760D" w14:textId="77777777">
      <w:pPr>
        <w:spacing w:after="0" w:line="240" w:lineRule="auto"/>
      </w:pPr>
      <w:r>
        <w:separator/>
      </w:r>
    </w:p>
  </w:endnote>
  <w:endnote w:type="continuationSeparator" w:id="0">
    <w:p w:rsidR="00003A02" w:rsidP="008E38D7" w:rsidRDefault="00003A02" w14:paraId="0496D0F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3A02" w:rsidP="008E38D7" w:rsidRDefault="00003A02" w14:paraId="2ECEDC4A" w14:textId="77777777">
      <w:pPr>
        <w:spacing w:after="0" w:line="240" w:lineRule="auto"/>
      </w:pPr>
      <w:r>
        <w:separator/>
      </w:r>
    </w:p>
  </w:footnote>
  <w:footnote w:type="continuationSeparator" w:id="0">
    <w:p w:rsidR="00003A02" w:rsidP="008E38D7" w:rsidRDefault="00003A02" w14:paraId="1D79B5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110" w:rsidP="00211110" w:rsidRDefault="00211110" w14:paraId="4751419B" w14:textId="5111B712">
    <w:pPr>
      <w:pStyle w:val="Sidhuvud"/>
      <w:jc w:val="right"/>
    </w:pPr>
    <w:r>
      <w:t>Swedish Wood-</w:t>
    </w:r>
    <w:proofErr w:type="spellStart"/>
    <w:r>
      <w:t>Fuel</w:t>
    </w:r>
    <w:proofErr w:type="spellEnd"/>
    <w:r>
      <w:t xml:space="preserve"> Association</w:t>
    </w:r>
  </w:p>
  <w:p w:rsidR="00DD4E55" w:rsidP="00211110" w:rsidRDefault="00DD4E55" w14:paraId="2FA91E75" w14:textId="6E0660D5">
    <w:pPr>
      <w:pStyle w:val="Sidhuvud"/>
      <w:jc w:val="right"/>
    </w:pPr>
    <w:r>
      <w:t>Sofia Backéus</w:t>
    </w:r>
  </w:p>
  <w:p w:rsidR="00DD4E55" w:rsidP="00211110" w:rsidRDefault="00DD4E55" w14:paraId="05BDBD6C" w14:textId="1A011CBE">
    <w:pPr>
      <w:pStyle w:val="Sidhuvud"/>
      <w:jc w:val="right"/>
    </w:pPr>
    <w:r>
      <w:t>2020-12-18</w:t>
    </w:r>
  </w:p>
  <w:p w:rsidR="00211110" w:rsidRDefault="00211110" w14:paraId="784FAEB7"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8C37BF"/>
    <w:multiLevelType w:val="hybridMultilevel"/>
    <w:tmpl w:val="67CEAE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9396186"/>
    <w:multiLevelType w:val="hybridMultilevel"/>
    <w:tmpl w:val="2570C582"/>
    <w:lvl w:ilvl="0" w:tplc="5E266DB4">
      <w:numFmt w:val="bullet"/>
      <w:lvlText w:val="-"/>
      <w:lvlJc w:val="left"/>
      <w:pPr>
        <w:ind w:left="720" w:hanging="360"/>
      </w:pPr>
      <w:rPr>
        <w:rFonts w:hint="default" w:ascii="Arial" w:hAnsi="Arial" w:cs="Arial" w:eastAsiaTheme="minorHAnsi"/>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50"/>
  <w:proofState w:spelling="clean" w:grammar="dirty"/>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D7"/>
    <w:rsid w:val="00003A02"/>
    <w:rsid w:val="0000656F"/>
    <w:rsid w:val="00021388"/>
    <w:rsid w:val="00042512"/>
    <w:rsid w:val="00080D8D"/>
    <w:rsid w:val="000823C7"/>
    <w:rsid w:val="000964C2"/>
    <w:rsid w:val="000C1CE4"/>
    <w:rsid w:val="000C4F33"/>
    <w:rsid w:val="00123384"/>
    <w:rsid w:val="001276FB"/>
    <w:rsid w:val="001367FC"/>
    <w:rsid w:val="00136CD2"/>
    <w:rsid w:val="00153F9A"/>
    <w:rsid w:val="00167992"/>
    <w:rsid w:val="001A384E"/>
    <w:rsid w:val="001C500B"/>
    <w:rsid w:val="001E2FE0"/>
    <w:rsid w:val="00202328"/>
    <w:rsid w:val="00211110"/>
    <w:rsid w:val="00234A8B"/>
    <w:rsid w:val="00247526"/>
    <w:rsid w:val="00261382"/>
    <w:rsid w:val="0028390B"/>
    <w:rsid w:val="002868BC"/>
    <w:rsid w:val="002B5E8C"/>
    <w:rsid w:val="002C241E"/>
    <w:rsid w:val="002D70F0"/>
    <w:rsid w:val="002E48B3"/>
    <w:rsid w:val="002F4A59"/>
    <w:rsid w:val="002F712B"/>
    <w:rsid w:val="00305C30"/>
    <w:rsid w:val="00313F32"/>
    <w:rsid w:val="0034341C"/>
    <w:rsid w:val="00345221"/>
    <w:rsid w:val="003560CD"/>
    <w:rsid w:val="00372938"/>
    <w:rsid w:val="00396035"/>
    <w:rsid w:val="003D2DE8"/>
    <w:rsid w:val="003D3361"/>
    <w:rsid w:val="003E3FFE"/>
    <w:rsid w:val="003F3840"/>
    <w:rsid w:val="0041209F"/>
    <w:rsid w:val="004162C1"/>
    <w:rsid w:val="004165F0"/>
    <w:rsid w:val="00423B08"/>
    <w:rsid w:val="0044563F"/>
    <w:rsid w:val="00462452"/>
    <w:rsid w:val="004E78B5"/>
    <w:rsid w:val="00517C37"/>
    <w:rsid w:val="005435C5"/>
    <w:rsid w:val="00574A63"/>
    <w:rsid w:val="00585220"/>
    <w:rsid w:val="0059047D"/>
    <w:rsid w:val="005B35E6"/>
    <w:rsid w:val="005E7C62"/>
    <w:rsid w:val="0063794F"/>
    <w:rsid w:val="0064575A"/>
    <w:rsid w:val="006B39C6"/>
    <w:rsid w:val="006C57D2"/>
    <w:rsid w:val="006C7FA3"/>
    <w:rsid w:val="006E774E"/>
    <w:rsid w:val="006F24AB"/>
    <w:rsid w:val="00707181"/>
    <w:rsid w:val="00713FB0"/>
    <w:rsid w:val="00734248"/>
    <w:rsid w:val="00735C9F"/>
    <w:rsid w:val="007533CA"/>
    <w:rsid w:val="00763F68"/>
    <w:rsid w:val="00795FC1"/>
    <w:rsid w:val="007A109F"/>
    <w:rsid w:val="007C5B6B"/>
    <w:rsid w:val="007E1D8C"/>
    <w:rsid w:val="00807EAF"/>
    <w:rsid w:val="00822ABC"/>
    <w:rsid w:val="0082645C"/>
    <w:rsid w:val="00837985"/>
    <w:rsid w:val="00896508"/>
    <w:rsid w:val="008A6EC2"/>
    <w:rsid w:val="008C3084"/>
    <w:rsid w:val="008E38D7"/>
    <w:rsid w:val="008F6D20"/>
    <w:rsid w:val="009028D4"/>
    <w:rsid w:val="00913E32"/>
    <w:rsid w:val="00940153"/>
    <w:rsid w:val="009470C9"/>
    <w:rsid w:val="009565C5"/>
    <w:rsid w:val="00977B09"/>
    <w:rsid w:val="009825C3"/>
    <w:rsid w:val="00991E87"/>
    <w:rsid w:val="009B5D75"/>
    <w:rsid w:val="00A07AA8"/>
    <w:rsid w:val="00A439B2"/>
    <w:rsid w:val="00A548D8"/>
    <w:rsid w:val="00A60301"/>
    <w:rsid w:val="00A60C49"/>
    <w:rsid w:val="00A97953"/>
    <w:rsid w:val="00AA406F"/>
    <w:rsid w:val="00AC2798"/>
    <w:rsid w:val="00B1143D"/>
    <w:rsid w:val="00B3798F"/>
    <w:rsid w:val="00B569D4"/>
    <w:rsid w:val="00B712E0"/>
    <w:rsid w:val="00B77841"/>
    <w:rsid w:val="00B82C2E"/>
    <w:rsid w:val="00BA2775"/>
    <w:rsid w:val="00BD525A"/>
    <w:rsid w:val="00BF7EDA"/>
    <w:rsid w:val="00C17D57"/>
    <w:rsid w:val="00C678F7"/>
    <w:rsid w:val="00C72906"/>
    <w:rsid w:val="00CB43F4"/>
    <w:rsid w:val="00CE6274"/>
    <w:rsid w:val="00D04B5E"/>
    <w:rsid w:val="00D15B04"/>
    <w:rsid w:val="00D24AAE"/>
    <w:rsid w:val="00D24C70"/>
    <w:rsid w:val="00D37CB9"/>
    <w:rsid w:val="00D4331B"/>
    <w:rsid w:val="00D75145"/>
    <w:rsid w:val="00DC1046"/>
    <w:rsid w:val="00DD4E55"/>
    <w:rsid w:val="00DD6A18"/>
    <w:rsid w:val="00DF4668"/>
    <w:rsid w:val="00E537E1"/>
    <w:rsid w:val="00E64738"/>
    <w:rsid w:val="00EA71E1"/>
    <w:rsid w:val="00EA7C08"/>
    <w:rsid w:val="00EC39BF"/>
    <w:rsid w:val="00ED0A3F"/>
    <w:rsid w:val="00ED3CED"/>
    <w:rsid w:val="00F147F0"/>
    <w:rsid w:val="00F261E5"/>
    <w:rsid w:val="00FA4D1D"/>
    <w:rsid w:val="00FA5D8C"/>
    <w:rsid w:val="00FC0BDD"/>
    <w:rsid w:val="00FE4906"/>
    <w:rsid w:val="00FE5055"/>
    <w:rsid w:val="00FE55A3"/>
    <w:rsid w:val="00FE6FE8"/>
    <w:rsid w:val="00FF2DD0"/>
    <w:rsid w:val="2FCD1769"/>
    <w:rsid w:val="73F99B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5A82"/>
  <w15:chartTrackingRefBased/>
  <w15:docId w15:val="{3CD7FD6C-1AE3-4C55-BC6F-6741E35C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38D7"/>
    <w:pPr>
      <w:spacing w:after="200" w:line="288" w:lineRule="auto"/>
    </w:pPr>
    <w:rPr>
      <w:rFonts w:eastAsiaTheme="minorEastAsia"/>
      <w:sz w:val="20"/>
      <w:szCs w:val="20"/>
    </w:rPr>
  </w:style>
  <w:style w:type="paragraph" w:styleId="Rubrik2">
    <w:name w:val="heading 2"/>
    <w:basedOn w:val="Normal"/>
    <w:next w:val="Normal"/>
    <w:link w:val="Rubrik2Char"/>
    <w:uiPriority w:val="9"/>
    <w:qFormat/>
    <w:rsid w:val="008E38D7"/>
    <w:pPr>
      <w:keepNext/>
      <w:keepLines/>
      <w:spacing w:before="120" w:after="0"/>
      <w:outlineLvl w:val="1"/>
    </w:pPr>
    <w:rPr>
      <w:rFonts w:asciiTheme="majorHAnsi" w:hAnsiTheme="majorHAnsi" w:eastAsiaTheme="majorEastAsia" w:cstheme="majorBidi"/>
      <w:b/>
      <w:bCs/>
      <w:sz w:val="24"/>
      <w:szCs w:val="28"/>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2Char" w:customStyle="1">
    <w:name w:val="Rubrik 2 Char"/>
    <w:basedOn w:val="Standardstycketeckensnitt"/>
    <w:link w:val="Rubrik2"/>
    <w:uiPriority w:val="9"/>
    <w:rsid w:val="008E38D7"/>
    <w:rPr>
      <w:rFonts w:asciiTheme="majorHAnsi" w:hAnsiTheme="majorHAnsi" w:eastAsiaTheme="majorEastAsia" w:cstheme="majorBidi"/>
      <w:b/>
      <w:bCs/>
      <w:sz w:val="24"/>
      <w:szCs w:val="28"/>
    </w:rPr>
  </w:style>
  <w:style w:type="paragraph" w:styleId="Sidhuvud">
    <w:name w:val="header"/>
    <w:basedOn w:val="Normal"/>
    <w:link w:val="SidhuvudChar"/>
    <w:uiPriority w:val="99"/>
    <w:rsid w:val="008E38D7"/>
    <w:pPr>
      <w:tabs>
        <w:tab w:val="center" w:pos="4536"/>
        <w:tab w:val="right" w:pos="9072"/>
      </w:tabs>
      <w:spacing w:after="0" w:line="240" w:lineRule="auto"/>
    </w:pPr>
    <w:rPr>
      <w:rFonts w:asciiTheme="majorHAnsi" w:hAnsiTheme="majorHAnsi"/>
      <w:sz w:val="18"/>
    </w:rPr>
  </w:style>
  <w:style w:type="character" w:styleId="SidhuvudChar" w:customStyle="1">
    <w:name w:val="Sidhuvud Char"/>
    <w:basedOn w:val="Standardstycketeckensnitt"/>
    <w:link w:val="Sidhuvud"/>
    <w:uiPriority w:val="99"/>
    <w:rsid w:val="008E38D7"/>
    <w:rPr>
      <w:rFonts w:asciiTheme="majorHAnsi" w:hAnsiTheme="majorHAnsi" w:eastAsiaTheme="minorEastAsia"/>
      <w:sz w:val="18"/>
      <w:szCs w:val="20"/>
    </w:rPr>
  </w:style>
  <w:style w:type="paragraph" w:styleId="Sidfot">
    <w:name w:val="footer"/>
    <w:basedOn w:val="Normal"/>
    <w:link w:val="SidfotChar"/>
    <w:uiPriority w:val="99"/>
    <w:rsid w:val="008E38D7"/>
    <w:pPr>
      <w:tabs>
        <w:tab w:val="center" w:pos="4536"/>
        <w:tab w:val="right" w:pos="9072"/>
      </w:tabs>
      <w:spacing w:after="0" w:line="240" w:lineRule="auto"/>
    </w:pPr>
    <w:rPr>
      <w:rFonts w:asciiTheme="majorHAnsi" w:hAnsiTheme="majorHAnsi"/>
      <w:sz w:val="16"/>
    </w:rPr>
  </w:style>
  <w:style w:type="character" w:styleId="SidfotChar" w:customStyle="1">
    <w:name w:val="Sidfot Char"/>
    <w:basedOn w:val="Standardstycketeckensnitt"/>
    <w:link w:val="Sidfot"/>
    <w:uiPriority w:val="99"/>
    <w:rsid w:val="008E38D7"/>
    <w:rPr>
      <w:rFonts w:asciiTheme="majorHAnsi" w:hAnsiTheme="majorHAnsi" w:eastAsiaTheme="minorEastAsia"/>
      <w:sz w:val="16"/>
      <w:szCs w:val="20"/>
    </w:rPr>
  </w:style>
  <w:style w:type="paragraph" w:styleId="Fotnotstext">
    <w:name w:val="footnote text"/>
    <w:basedOn w:val="Normal"/>
    <w:link w:val="FotnotstextChar"/>
    <w:rsid w:val="008E38D7"/>
    <w:pPr>
      <w:spacing w:after="0" w:line="240" w:lineRule="auto"/>
    </w:pPr>
  </w:style>
  <w:style w:type="character" w:styleId="FotnotstextChar" w:customStyle="1">
    <w:name w:val="Fotnotstext Char"/>
    <w:basedOn w:val="Standardstycketeckensnitt"/>
    <w:link w:val="Fotnotstext"/>
    <w:rsid w:val="008E38D7"/>
    <w:rPr>
      <w:rFonts w:eastAsiaTheme="minorEastAsia"/>
      <w:sz w:val="20"/>
      <w:szCs w:val="20"/>
    </w:rPr>
  </w:style>
  <w:style w:type="character" w:styleId="Fotnotsreferens">
    <w:name w:val="footnote reference"/>
    <w:basedOn w:val="Standardstycketeckensnitt"/>
    <w:rsid w:val="008E38D7"/>
    <w:rPr>
      <w:vertAlign w:val="superscript"/>
    </w:rPr>
  </w:style>
  <w:style w:type="table" w:styleId="Tabellrutnt">
    <w:name w:val="Table Grid"/>
    <w:basedOn w:val="Normaltabell"/>
    <w:uiPriority w:val="39"/>
    <w:rsid w:val="008E38D7"/>
    <w:pPr>
      <w:spacing w:after="0" w:line="240" w:lineRule="auto"/>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autoRedefine/>
    <w:uiPriority w:val="34"/>
    <w:qFormat/>
    <w:rsid w:val="008E38D7"/>
    <w:pPr>
      <w:tabs>
        <w:tab w:val="num" w:pos="170"/>
      </w:tabs>
      <w:spacing w:after="0" w:line="240" w:lineRule="auto"/>
      <w:ind w:left="170" w:hanging="170"/>
      <w:contextualSpacing/>
    </w:pPr>
    <w:rPr>
      <w:rFonts w:ascii="Times New Roman" w:hAnsi="Times New Roman" w:eastAsia="Times New Roman" w:cs="Times New Roman"/>
      <w:color w:val="00564A"/>
      <w:sz w:val="24"/>
      <w:szCs w:val="24"/>
      <w:lang w:val="de-DE"/>
    </w:rPr>
  </w:style>
  <w:style w:type="paragraph" w:styleId="Normalwebb">
    <w:name w:val="Normal (Web)"/>
    <w:basedOn w:val="Normal"/>
    <w:uiPriority w:val="99"/>
    <w:unhideWhenUsed/>
    <w:rsid w:val="008E38D7"/>
    <w:pPr>
      <w:spacing w:before="100" w:beforeAutospacing="1" w:after="100" w:afterAutospacing="1" w:line="240" w:lineRule="auto"/>
    </w:pPr>
    <w:rPr>
      <w:rFonts w:ascii="Times New Roman" w:hAnsi="Times New Roman" w:eastAsia="Times New Roman" w:cs="Times New Roman"/>
      <w:sz w:val="24"/>
      <w:szCs w:val="24"/>
      <w:lang w:val="en-US" w:eastAsia="en-GB"/>
    </w:rPr>
  </w:style>
  <w:style w:type="paragraph" w:styleId="Default" w:customStyle="1">
    <w:name w:val="Default"/>
    <w:rsid w:val="008E38D7"/>
    <w:pPr>
      <w:autoSpaceDE w:val="0"/>
      <w:autoSpaceDN w:val="0"/>
      <w:adjustRightInd w:val="0"/>
      <w:spacing w:after="0" w:line="240" w:lineRule="auto"/>
    </w:pPr>
    <w:rPr>
      <w:rFonts w:ascii="Times New Roman" w:hAnsi="Times New Roman" w:cs="Times New Roman"/>
      <w:color w:val="000000"/>
      <w:sz w:val="24"/>
      <w:szCs w:val="24"/>
      <w:lang w:val="x-none"/>
    </w:rPr>
  </w:style>
  <w:style w:type="character" w:styleId="Hyperlnk">
    <w:name w:val="Hyperlink"/>
    <w:basedOn w:val="Standardstycketeckensnitt"/>
    <w:uiPriority w:val="99"/>
    <w:unhideWhenUsed/>
    <w:rsid w:val="007E1D8C"/>
    <w:rPr>
      <w:color w:val="0563C1" w:themeColor="hyperlink"/>
      <w:u w:val="single"/>
    </w:rPr>
  </w:style>
  <w:style w:type="character" w:styleId="AnvndHyperlnk">
    <w:name w:val="FollowedHyperlink"/>
    <w:basedOn w:val="Standardstycketeckensnitt"/>
    <w:uiPriority w:val="99"/>
    <w:semiHidden/>
    <w:unhideWhenUsed/>
    <w:rsid w:val="00A548D8"/>
    <w:rPr>
      <w:color w:val="954F72" w:themeColor="followedHyperlink"/>
      <w:u w:val="single"/>
    </w:rPr>
  </w:style>
  <w:style w:type="character" w:styleId="Olstomnmnande">
    <w:name w:val="Unresolved Mention"/>
    <w:basedOn w:val="Standardstycketeckensnitt"/>
    <w:uiPriority w:val="99"/>
    <w:semiHidden/>
    <w:unhideWhenUsed/>
    <w:rsid w:val="00585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788178">
      <w:bodyDiv w:val="1"/>
      <w:marLeft w:val="0"/>
      <w:marRight w:val="0"/>
      <w:marTop w:val="0"/>
      <w:marBottom w:val="0"/>
      <w:divBdr>
        <w:top w:val="none" w:sz="0" w:space="0" w:color="auto"/>
        <w:left w:val="none" w:sz="0" w:space="0" w:color="auto"/>
        <w:bottom w:val="none" w:sz="0" w:space="0" w:color="auto"/>
        <w:right w:val="none" w:sz="0" w:space="0" w:color="auto"/>
      </w:divBdr>
    </w:div>
    <w:div w:id="716970565">
      <w:bodyDiv w:val="1"/>
      <w:marLeft w:val="0"/>
      <w:marRight w:val="0"/>
      <w:marTop w:val="0"/>
      <w:marBottom w:val="0"/>
      <w:divBdr>
        <w:top w:val="none" w:sz="0" w:space="0" w:color="auto"/>
        <w:left w:val="none" w:sz="0" w:space="0" w:color="auto"/>
        <w:bottom w:val="none" w:sz="0" w:space="0" w:color="auto"/>
        <w:right w:val="none" w:sz="0" w:space="0" w:color="auto"/>
      </w:divBdr>
    </w:div>
    <w:div w:id="799953979">
      <w:bodyDiv w:val="1"/>
      <w:marLeft w:val="0"/>
      <w:marRight w:val="0"/>
      <w:marTop w:val="0"/>
      <w:marBottom w:val="0"/>
      <w:divBdr>
        <w:top w:val="none" w:sz="0" w:space="0" w:color="auto"/>
        <w:left w:val="none" w:sz="0" w:space="0" w:color="auto"/>
        <w:bottom w:val="none" w:sz="0" w:space="0" w:color="auto"/>
        <w:right w:val="none" w:sz="0" w:space="0" w:color="auto"/>
      </w:divBdr>
    </w:div>
    <w:div w:id="14579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ur-lex.europa.eu/resource.html?uri=cellar:a3c806a6-9ab3-11ea-9d2d-01aa75ed71a1.0001.02/DOC_1&amp;format=PDF" TargetMode="Externa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yperlink" Target="https://foresteurope.org/" TargetMode="External" Id="rId10" /><Relationship Type="http://schemas.openxmlformats.org/officeDocument/2006/relationships/settings" Target="settings.xml" Id="rId4" /><Relationship Type="http://schemas.openxmlformats.org/officeDocument/2006/relationships/hyperlink" Target="https://eur-lex.europa.eu/legal-content/EN/TXT/PDF/?uri=CELEX:52020DC0299&amp;from=EN"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3851CE8D1805540AF46637A6254BFFF" ma:contentTypeVersion="6" ma:contentTypeDescription="Skapa ett nytt dokument." ma:contentTypeScope="" ma:versionID="71398a361636d7738f8257ab58c70744">
  <xsd:schema xmlns:xsd="http://www.w3.org/2001/XMLSchema" xmlns:xs="http://www.w3.org/2001/XMLSchema" xmlns:p="http://schemas.microsoft.com/office/2006/metadata/properties" xmlns:ns2="7af3bbc0-317c-4bd3-a4b9-ef7147213966" xmlns:ns3="82fb4e87-e813-4d52-bb5c-da9cad2d8c6f" targetNamespace="http://schemas.microsoft.com/office/2006/metadata/properties" ma:root="true" ma:fieldsID="24b02741d0603786883fc849700ecedb" ns2:_="" ns3:_="">
    <xsd:import namespace="7af3bbc0-317c-4bd3-a4b9-ef7147213966"/>
    <xsd:import namespace="82fb4e87-e813-4d52-bb5c-da9cad2d8c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3bbc0-317c-4bd3-a4b9-ef7147213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fb4e87-e813-4d52-bb5c-da9cad2d8c6f"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AF6FB-1583-41A6-8913-7793B69BF567}">
  <ds:schemaRefs>
    <ds:schemaRef ds:uri="http://schemas.openxmlformats.org/officeDocument/2006/bibliography"/>
  </ds:schemaRefs>
</ds:datastoreItem>
</file>

<file path=customXml/itemProps2.xml><?xml version="1.0" encoding="utf-8"?>
<ds:datastoreItem xmlns:ds="http://schemas.openxmlformats.org/officeDocument/2006/customXml" ds:itemID="{4B3F304E-1E5E-4F0A-9672-7DC33B9A751B}"/>
</file>

<file path=customXml/itemProps3.xml><?xml version="1.0" encoding="utf-8"?>
<ds:datastoreItem xmlns:ds="http://schemas.openxmlformats.org/officeDocument/2006/customXml" ds:itemID="{8E354BAD-6524-4A43-9E65-D8836010D23A}"/>
</file>

<file path=customXml/itemProps4.xml><?xml version="1.0" encoding="utf-8"?>
<ds:datastoreItem xmlns:ds="http://schemas.openxmlformats.org/officeDocument/2006/customXml" ds:itemID="{129B49D8-B8AE-4F12-8194-F7E4C3437A0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Sofia Backéus</dc:creator>
  <keywords/>
  <dc:description/>
  <lastModifiedBy>Håkan Johansson</lastModifiedBy>
  <revision>86</revision>
  <dcterms:created xsi:type="dcterms:W3CDTF">2020-12-17T12:29:00.0000000Z</dcterms:created>
  <dcterms:modified xsi:type="dcterms:W3CDTF">2020-12-21T14:31:23.7642482Z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0x01010013851CE8D1805540AF46637A6254BFFF</vt:lpwstr>
  </property>
</Properties>
</file>