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12" w:rsidRDefault="00D81A12" w:rsidP="00D81A12">
      <w:pPr>
        <w:tabs>
          <w:tab w:val="right" w:pos="9072"/>
        </w:tabs>
      </w:pPr>
      <w:r>
        <w:tab/>
        <w:t>Stockholm 201</w:t>
      </w:r>
      <w:r w:rsidR="008236F3">
        <w:t>6</w:t>
      </w:r>
      <w:r>
        <w:t>-</w:t>
      </w:r>
      <w:r w:rsidR="00D062DE">
        <w:t>1</w:t>
      </w:r>
      <w:r w:rsidR="00EA7964">
        <w:t>2</w:t>
      </w:r>
      <w:r>
        <w:t>-</w:t>
      </w:r>
      <w:r w:rsidR="00EA7964">
        <w:t>20</w:t>
      </w:r>
    </w:p>
    <w:p w:rsidR="00D062DE" w:rsidRDefault="00D062DE" w:rsidP="00D062DE">
      <w:r w:rsidRPr="00D062DE">
        <w:t>Regeringskansliet, Miljö- och energidepartementet</w:t>
      </w:r>
      <w:r>
        <w:br/>
        <w:t>103 33 STOCKHOLM</w:t>
      </w:r>
    </w:p>
    <w:p w:rsidR="00D062DE" w:rsidRPr="00D062DE" w:rsidRDefault="00A77769" w:rsidP="00D062DE">
      <w:pPr>
        <w:spacing w:after="200" w:line="276" w:lineRule="auto"/>
      </w:pPr>
      <w:hyperlink r:id="rId8" w:history="1">
        <w:r w:rsidR="00D062DE" w:rsidRPr="00D062DE">
          <w:rPr>
            <w:color w:val="0000FF" w:themeColor="hyperlink"/>
            <w:u w:val="single"/>
          </w:rPr>
          <w:t>m.registrator@regeringskansliet.se</w:t>
        </w:r>
      </w:hyperlink>
      <w:r w:rsidR="00D062DE" w:rsidRPr="00D062DE">
        <w:br/>
      </w:r>
      <w:r w:rsidR="00D062DE">
        <w:t xml:space="preserve">kopia: </w:t>
      </w:r>
      <w:hyperlink r:id="rId9" w:history="1">
        <w:r w:rsidR="008218C8" w:rsidRPr="00FB620A">
          <w:rPr>
            <w:rStyle w:val="Hyperlnk"/>
          </w:rPr>
          <w:t>bjorn.telenius@regeringskansliet.se</w:t>
        </w:r>
      </w:hyperlink>
      <w:r>
        <w:t>,</w:t>
      </w:r>
      <w:r w:rsidR="008218C8">
        <w:t xml:space="preserve"> </w:t>
      </w:r>
      <w:hyperlink r:id="rId10" w:history="1">
        <w:r w:rsidRPr="00FB620A">
          <w:rPr>
            <w:rStyle w:val="Hyperlnk"/>
          </w:rPr>
          <w:t>sven-olov.ericson@regeringskansliet.se</w:t>
        </w:r>
      </w:hyperlink>
      <w:r>
        <w:t xml:space="preserve"> </w:t>
      </w:r>
    </w:p>
    <w:p w:rsidR="00D062DE" w:rsidRPr="00D062DE" w:rsidRDefault="00D062DE" w:rsidP="00D062DE">
      <w:pPr>
        <w:spacing w:after="200" w:line="276" w:lineRule="auto"/>
      </w:pPr>
    </w:p>
    <w:p w:rsidR="00D062DE" w:rsidRPr="00CB4063" w:rsidRDefault="00EA7964" w:rsidP="00D062DE">
      <w:pPr>
        <w:spacing w:after="200" w:line="276" w:lineRule="auto"/>
        <w:rPr>
          <w:color w:val="1F497D" w:themeColor="text2"/>
          <w:sz w:val="28"/>
          <w:szCs w:val="28"/>
        </w:rPr>
      </w:pPr>
      <w:r w:rsidRPr="00EA7964">
        <w:rPr>
          <w:rFonts w:asciiTheme="majorHAnsi" w:eastAsiaTheme="majorEastAsia" w:hAnsiTheme="majorHAnsi" w:cstheme="majorBidi"/>
          <w:b/>
          <w:bCs/>
          <w:color w:val="365F91" w:themeColor="accent1" w:themeShade="BF"/>
          <w:sz w:val="28"/>
          <w:szCs w:val="28"/>
        </w:rPr>
        <w:t xml:space="preserve">Inspel från </w:t>
      </w:r>
      <w:r>
        <w:rPr>
          <w:rFonts w:asciiTheme="majorHAnsi" w:eastAsiaTheme="majorEastAsia" w:hAnsiTheme="majorHAnsi" w:cstheme="majorBidi"/>
          <w:b/>
          <w:bCs/>
          <w:color w:val="365F91" w:themeColor="accent1" w:themeShade="BF"/>
          <w:sz w:val="28"/>
          <w:szCs w:val="28"/>
        </w:rPr>
        <w:t>Svenska Trädbränsleföreningen</w:t>
      </w:r>
      <w:r w:rsidRPr="00EA7964">
        <w:rPr>
          <w:rFonts w:asciiTheme="majorHAnsi" w:eastAsiaTheme="majorEastAsia" w:hAnsiTheme="majorHAnsi" w:cstheme="majorBidi"/>
          <w:b/>
          <w:bCs/>
          <w:color w:val="365F91" w:themeColor="accent1" w:themeShade="BF"/>
          <w:sz w:val="28"/>
          <w:szCs w:val="28"/>
        </w:rPr>
        <w:t xml:space="preserve"> till svenska ståndpunkter om kommissionens förslag till direktiv ”</w:t>
      </w:r>
      <w:r w:rsidRPr="00CB4063">
        <w:rPr>
          <w:rFonts w:asciiTheme="majorHAnsi" w:eastAsiaTheme="majorEastAsia" w:hAnsiTheme="majorHAnsi" w:cstheme="majorBidi"/>
          <w:b/>
          <w:bCs/>
          <w:color w:val="365F91" w:themeColor="accent1" w:themeShade="BF"/>
          <w:sz w:val="28"/>
          <w:szCs w:val="28"/>
        </w:rPr>
        <w:t>on the promotion of the use of energy from renewable sources (recast)”, COM(2016) 767 final</w:t>
      </w:r>
    </w:p>
    <w:p w:rsidR="00D062DE" w:rsidRPr="00D062DE" w:rsidRDefault="00D062DE" w:rsidP="00D062DE">
      <w:pPr>
        <w:spacing w:after="200" w:line="276" w:lineRule="auto"/>
      </w:pPr>
      <w:r w:rsidRPr="00D062DE">
        <w:t>Svenska Trädbränsleföreningens har tagit del av rubricera</w:t>
      </w:r>
      <w:r w:rsidR="00EA7964">
        <w:t xml:space="preserve">t förslag </w:t>
      </w:r>
      <w:r w:rsidRPr="00D062DE">
        <w:t xml:space="preserve">och </w:t>
      </w:r>
      <w:r w:rsidR="00EA7964">
        <w:t xml:space="preserve">vill lämna </w:t>
      </w:r>
      <w:r w:rsidRPr="00D062DE">
        <w:t xml:space="preserve">följande </w:t>
      </w:r>
      <w:r w:rsidR="00EA7964">
        <w:t>inspel i samband med framtagande av svenska ståndpunkter</w:t>
      </w:r>
      <w:r w:rsidR="00AF70D5">
        <w:t xml:space="preserve">. Hänvisning sker i enlighet med </w:t>
      </w:r>
      <w:r w:rsidR="00104013">
        <w:t xml:space="preserve">framlagt förslags </w:t>
      </w:r>
      <w:r w:rsidR="00AF70D5">
        <w:t>nya numrering.</w:t>
      </w:r>
    </w:p>
    <w:p w:rsidR="00D062DE" w:rsidRPr="00D062DE" w:rsidRDefault="00EA7964" w:rsidP="00D062DE">
      <w:pPr>
        <w:spacing w:before="240" w:after="0" w:line="276" w:lineRule="auto"/>
        <w:rPr>
          <w:color w:val="1F497D" w:themeColor="text2"/>
        </w:rPr>
      </w:pPr>
      <w:r>
        <w:rPr>
          <w:color w:val="1F497D" w:themeColor="text2"/>
        </w:rPr>
        <w:t>Generellt</w:t>
      </w:r>
    </w:p>
    <w:p w:rsidR="00D062DE" w:rsidRPr="00EA7964" w:rsidRDefault="00EA7964" w:rsidP="00D062DE">
      <w:pPr>
        <w:spacing w:after="200" w:line="276" w:lineRule="auto"/>
      </w:pPr>
      <w:r w:rsidRPr="00EA7964">
        <w:t>Svenska Trädbränsleföreningen vill inledningsvis understryka att vi i Sverige har en skogspolitik och en ägarstruktur som borgar för att den svenska skogen brukas på ett hållbart sätt</w:t>
      </w:r>
      <w:r w:rsidR="00427484">
        <w:t>. Hållbart skogsbruk säkerställs genom svensk skogslagstiftning, miljöbalken och övrig lag som påverkar skogen. Även övriga länder i EU har lagstiftning som bygger på kriterier för hållbarhet. Därutöver finns timmerförordningen (EUTR</w:t>
      </w:r>
      <w:r w:rsidR="00427484">
        <w:rPr>
          <w:rStyle w:val="Fotnotsreferens"/>
        </w:rPr>
        <w:footnoteReference w:id="1"/>
      </w:r>
      <w:r w:rsidR="00427484">
        <w:t>) som förbjuder försäljning och införsel av illegalt virke på EUs marknad.</w:t>
      </w:r>
      <w:r w:rsidR="00104013">
        <w:t xml:space="preserve"> Inom LULUCF </w:t>
      </w:r>
      <w:r w:rsidR="00376A99">
        <w:t>rapporteras förändringar i kolpoolerna.</w:t>
      </w:r>
      <w:r w:rsidR="00104013">
        <w:t xml:space="preserve"> </w:t>
      </w:r>
    </w:p>
    <w:p w:rsidR="00104013" w:rsidRPr="00104013" w:rsidRDefault="00104013" w:rsidP="00104013">
      <w:pPr>
        <w:spacing w:after="200" w:line="276" w:lineRule="auto"/>
      </w:pPr>
      <w:r w:rsidRPr="00104013">
        <w:t>F</w:t>
      </w:r>
      <w:r w:rsidR="00427484" w:rsidRPr="00104013">
        <w:t>örnybar bioenergi måste fortsätta</w:t>
      </w:r>
      <w:r w:rsidR="00CB4063">
        <w:t xml:space="preserve"> att</w:t>
      </w:r>
      <w:r w:rsidR="00427484" w:rsidRPr="00104013">
        <w:t xml:space="preserve"> vara en viktig energikälla inom EU. Alla typer av förnybara energikällor behövs, och villkoren för bioenergi och andra förnybara energikällor behöver vara likvärdiga. </w:t>
      </w:r>
      <w:r w:rsidRPr="00104013">
        <w:t>Trädbränsleföreningen vill understryka vikten av att främja skogsbiomassa i värme- och kyla sektorn (inkl. CHP) l</w:t>
      </w:r>
      <w:r w:rsidR="00CB4063">
        <w:t>iksom transportsektorn. Instabil</w:t>
      </w:r>
      <w:r w:rsidRPr="00104013">
        <w:t xml:space="preserve"> förnybar el såsom vind och sol måste balanseras i energisystemet och här biomassa har en stor fördel.</w:t>
      </w:r>
      <w:r w:rsidR="00376A99" w:rsidRPr="00376A99">
        <w:t xml:space="preserve"> Det är viktigt att råvara från skogen mobiliseras </w:t>
      </w:r>
      <w:r w:rsidR="00376A99">
        <w:t xml:space="preserve">och att </w:t>
      </w:r>
      <w:r w:rsidR="00376A99" w:rsidRPr="00376A99">
        <w:t>nya försörjningskedjor etableras. Övergången måste stödjas och främjas.</w:t>
      </w:r>
    </w:p>
    <w:p w:rsidR="00104013" w:rsidRPr="00376A99" w:rsidRDefault="00104013" w:rsidP="00104013">
      <w:pPr>
        <w:spacing w:after="200" w:line="276" w:lineRule="auto"/>
      </w:pPr>
      <w:r w:rsidRPr="00376A99">
        <w:t xml:space="preserve">EU måste minimera </w:t>
      </w:r>
      <w:r w:rsidR="00376A99">
        <w:t xml:space="preserve">de antropogena </w:t>
      </w:r>
      <w:r w:rsidRPr="00376A99">
        <w:t>växthusgaser</w:t>
      </w:r>
      <w:r w:rsidR="00376A99">
        <w:t xml:space="preserve">na. Det </w:t>
      </w:r>
      <w:r w:rsidRPr="00376A99">
        <w:t>kommer att gynna klimatet</w:t>
      </w:r>
      <w:r w:rsidR="00376A99">
        <w:t xml:space="preserve"> </w:t>
      </w:r>
      <w:r w:rsidRPr="00376A99">
        <w:t>liksom andra miljövärden (inkl. biologisk mångfald)</w:t>
      </w:r>
      <w:r w:rsidR="00376A99">
        <w:t xml:space="preserve"> för om </w:t>
      </w:r>
      <w:r w:rsidRPr="00376A99">
        <w:t xml:space="preserve">temperaturökningen </w:t>
      </w:r>
      <w:r w:rsidR="00376A99">
        <w:t>inte hålls</w:t>
      </w:r>
      <w:r w:rsidRPr="00376A99">
        <w:t xml:space="preserve"> under 2 grader C finns det en </w:t>
      </w:r>
      <w:r w:rsidR="00376A99">
        <w:t xml:space="preserve">överhängande </w:t>
      </w:r>
      <w:r w:rsidR="00CB4063">
        <w:t>risk</w:t>
      </w:r>
      <w:r w:rsidRPr="00376A99">
        <w:t xml:space="preserve"> att alla</w:t>
      </w:r>
      <w:r w:rsidR="00376A99">
        <w:t xml:space="preserve"> </w:t>
      </w:r>
      <w:r w:rsidRPr="00376A99">
        <w:t>miljövärden kommer att påverkas kraftigt.</w:t>
      </w:r>
    </w:p>
    <w:p w:rsidR="00D062DE" w:rsidRPr="00D062DE" w:rsidRDefault="00EA7964" w:rsidP="00D062DE">
      <w:pPr>
        <w:spacing w:before="240" w:after="0" w:line="276" w:lineRule="auto"/>
        <w:rPr>
          <w:color w:val="1F497D" w:themeColor="text2"/>
        </w:rPr>
      </w:pPr>
      <w:r>
        <w:rPr>
          <w:color w:val="1F497D" w:themeColor="text2"/>
        </w:rPr>
        <w:t>Riskbaserat angreppssätt</w:t>
      </w:r>
    </w:p>
    <w:p w:rsidR="00AF70D5" w:rsidRDefault="00AF70D5" w:rsidP="00EA7964">
      <w:pPr>
        <w:spacing w:after="200" w:line="276" w:lineRule="auto"/>
      </w:pPr>
      <w:r>
        <w:t xml:space="preserve">Föreningen menar att förslaget om att använda ett riskbaserat angreppssätt för skoglig biomassa </w:t>
      </w:r>
      <w:r w:rsidR="00104013">
        <w:t xml:space="preserve">kan vara </w:t>
      </w:r>
      <w:r>
        <w:t>bra</w:t>
      </w:r>
      <w:r w:rsidR="00104013">
        <w:t>, så länge det bygger på nationell lagstiftning och nationell LULUCF-rapportering och inte leder till ökad administration för producent</w:t>
      </w:r>
      <w:r w:rsidR="00CB4063">
        <w:t>er av skogsråvara</w:t>
      </w:r>
      <w:r w:rsidR="00104013">
        <w:t>.</w:t>
      </w:r>
      <w:r>
        <w:t xml:space="preserve"> Frågan är dock vad som avses med krav att minimera markpåverkan i artikel 26, </w:t>
      </w:r>
      <w:r w:rsidR="00122907">
        <w:t>paragraf</w:t>
      </w:r>
      <w:r>
        <w:t xml:space="preserve"> 5a iv). </w:t>
      </w:r>
    </w:p>
    <w:p w:rsidR="00D062DE" w:rsidRDefault="00AF70D5" w:rsidP="00EA7964">
      <w:pPr>
        <w:spacing w:after="200" w:line="276" w:lineRule="auto"/>
      </w:pPr>
      <w:r>
        <w:lastRenderedPageBreak/>
        <w:t xml:space="preserve">I de fall länder inte kvalificerar sig för att nå kraven i 5a och istället hamnar i 5b ser vi </w:t>
      </w:r>
      <w:r w:rsidR="00104013">
        <w:t xml:space="preserve">även </w:t>
      </w:r>
      <w:r>
        <w:t xml:space="preserve">frågetecken vad gäller laglighetsaspekten. </w:t>
      </w:r>
      <w:r w:rsidRPr="00AF70D5">
        <w:t xml:space="preserve">Genom införandet av EUTR finns </w:t>
      </w:r>
      <w:r>
        <w:t xml:space="preserve">krav på laglighet och </w:t>
      </w:r>
      <w:r w:rsidRPr="00AF70D5">
        <w:t xml:space="preserve">spårbarhet av all träråvara på EUs marknad och </w:t>
      </w:r>
      <w:r>
        <w:t xml:space="preserve">därför torde </w:t>
      </w:r>
      <w:r w:rsidRPr="00AF70D5">
        <w:t>särskilda krav</w:t>
      </w:r>
      <w:r>
        <w:t xml:space="preserve"> vara onödiga. </w:t>
      </w:r>
      <w:r w:rsidR="00EA7964" w:rsidRPr="00EA7964">
        <w:t xml:space="preserve">Vi föreslår istället hänvisning till EUTR, dvs förbud mot olagligt virke. </w:t>
      </w:r>
    </w:p>
    <w:p w:rsidR="00EA7964" w:rsidRPr="00D062DE" w:rsidRDefault="00104013" w:rsidP="00EA7964">
      <w:pPr>
        <w:spacing w:after="200" w:line="276" w:lineRule="auto"/>
      </w:pPr>
      <w:r>
        <w:t>V</w:t>
      </w:r>
      <w:r w:rsidR="00AF70D5">
        <w:t xml:space="preserve">i ställer oss </w:t>
      </w:r>
      <w:r>
        <w:t xml:space="preserve">likaså </w:t>
      </w:r>
      <w:r w:rsidR="00AF70D5">
        <w:t xml:space="preserve">frågande till vad </w:t>
      </w:r>
      <w:r w:rsidR="00122907">
        <w:t>som avses med att kommissionen genom implementerade akter kan fastställa krav om verifiering (”</w:t>
      </w:r>
      <w:r w:rsidR="00122907" w:rsidRPr="00122907">
        <w:rPr>
          <w:i/>
        </w:rPr>
        <w:t>…</w:t>
      </w:r>
      <w:r w:rsidR="00122907" w:rsidRPr="00CB4063">
        <w:rPr>
          <w:i/>
        </w:rPr>
        <w:t>operational evidence for demonstrating compliance</w:t>
      </w:r>
      <w:r w:rsidR="00122907" w:rsidRPr="00122907">
        <w:rPr>
          <w:i/>
        </w:rPr>
        <w:t>…</w:t>
      </w:r>
      <w:r w:rsidR="00122907">
        <w:rPr>
          <w:i/>
        </w:rPr>
        <w:t>”</w:t>
      </w:r>
      <w:r w:rsidR="00122907">
        <w:t xml:space="preserve">) av paragraferna fem och sex. </w:t>
      </w:r>
      <w:r w:rsidR="00427484">
        <w:t xml:space="preserve">Även i artikel 27, paragraf 5 nämns detaljerad verifiering, vilket tycks stämma dåligt med </w:t>
      </w:r>
      <w:r>
        <w:t xml:space="preserve">ambitionen av </w:t>
      </w:r>
      <w:r w:rsidR="00427484">
        <w:t xml:space="preserve">att nyttja </w:t>
      </w:r>
      <w:r w:rsidR="00CB4063">
        <w:t xml:space="preserve">ett </w:t>
      </w:r>
      <w:r w:rsidR="00427484">
        <w:t>riskbaserat angreppssätt.</w:t>
      </w:r>
    </w:p>
    <w:p w:rsidR="00D062DE" w:rsidRPr="00CB4063" w:rsidRDefault="00EA7964" w:rsidP="00D062DE">
      <w:pPr>
        <w:spacing w:before="240" w:after="0" w:line="276" w:lineRule="auto"/>
        <w:rPr>
          <w:color w:val="1F497D" w:themeColor="text2"/>
        </w:rPr>
      </w:pPr>
      <w:r w:rsidRPr="00CB4063">
        <w:rPr>
          <w:color w:val="1F497D" w:themeColor="text2"/>
        </w:rPr>
        <w:t>High Conservation Value</w:t>
      </w:r>
      <w:r w:rsidR="00D062DE" w:rsidRPr="00CB4063">
        <w:rPr>
          <w:color w:val="1F497D" w:themeColor="text2"/>
        </w:rPr>
        <w:t xml:space="preserve"> </w:t>
      </w:r>
    </w:p>
    <w:p w:rsidR="00D062DE" w:rsidRPr="00D062DE" w:rsidRDefault="00EA7964" w:rsidP="00D062DE">
      <w:pPr>
        <w:spacing w:after="200" w:line="276" w:lineRule="auto"/>
      </w:pPr>
      <w:r w:rsidRPr="00EA7964">
        <w:t xml:space="preserve">Då det gäller </w:t>
      </w:r>
      <w:r>
        <w:t xml:space="preserve">hänvisningen i artikel </w:t>
      </w:r>
      <w:r w:rsidR="00AF70D5">
        <w:t>26</w:t>
      </w:r>
      <w:r>
        <w:t xml:space="preserve">, </w:t>
      </w:r>
      <w:r w:rsidR="00122907">
        <w:t xml:space="preserve">paragraf </w:t>
      </w:r>
      <w:r>
        <w:t xml:space="preserve">5a iii) samt 5b iii) till </w:t>
      </w:r>
      <w:r w:rsidRPr="00EA7964">
        <w:t xml:space="preserve">känsliga skogsområden, är det </w:t>
      </w:r>
      <w:r>
        <w:t xml:space="preserve">högst </w:t>
      </w:r>
      <w:r w:rsidRPr="00EA7964">
        <w:t xml:space="preserve">olämpligt att använda </w:t>
      </w:r>
      <w:r>
        <w:t xml:space="preserve">termen </w:t>
      </w:r>
      <w:r w:rsidRPr="00CB4063">
        <w:t>High Conservation Value</w:t>
      </w:r>
      <w:r>
        <w:t xml:space="preserve">. Det </w:t>
      </w:r>
      <w:r w:rsidRPr="00EA7964">
        <w:t xml:space="preserve">är en term som innehas av FSC och som kan förändras av denna organisation. HCH </w:t>
      </w:r>
      <w:r w:rsidRPr="00CB4063">
        <w:t>Network charter</w:t>
      </w:r>
      <w:r w:rsidRPr="00EA7964">
        <w:t xml:space="preserve"> bara är en av flera mekanismer för att identifiera och förvalta områden med höga bevarandevärden och HCV är en del av varumärket FSC. Att ensidigt peka ut HCV är diskriminerande mot mindre skogsägare vars skogar är PEFC-certifierade. I Sverige är totalt 43 000 skogsägare anslutna till ett PEFC-certifikat. Dessutom är åtgärder inom HCV-områden tillåtna i FSC om dessa bevarar eller förbättrar bevarande värdet.</w:t>
      </w:r>
      <w:r>
        <w:t xml:space="preserve"> Termen kan lämpligen ersättas med ”</w:t>
      </w:r>
      <w:r w:rsidRPr="00CB4063">
        <w:t>land with high biodiversity value</w:t>
      </w:r>
      <w:r>
        <w:t xml:space="preserve">” </w:t>
      </w:r>
      <w:r w:rsidR="00AF70D5">
        <w:t>vilket då blir i analogi med artikel 26, sektion 2.</w:t>
      </w:r>
    </w:p>
    <w:p w:rsidR="00D062DE" w:rsidRPr="00122907" w:rsidRDefault="00122907" w:rsidP="00122907">
      <w:pPr>
        <w:spacing w:before="240" w:after="0" w:line="276" w:lineRule="auto"/>
        <w:rPr>
          <w:color w:val="1F497D" w:themeColor="text2"/>
        </w:rPr>
      </w:pPr>
      <w:r>
        <w:rPr>
          <w:color w:val="1F497D" w:themeColor="text2"/>
        </w:rPr>
        <w:t>Stabila och robusta reg</w:t>
      </w:r>
      <w:r w:rsidRPr="00122907">
        <w:rPr>
          <w:color w:val="1F497D" w:themeColor="text2"/>
        </w:rPr>
        <w:t>ler</w:t>
      </w:r>
    </w:p>
    <w:p w:rsidR="00122907" w:rsidRDefault="00122907" w:rsidP="00D062DE">
      <w:pPr>
        <w:spacing w:after="200" w:line="276" w:lineRule="auto"/>
      </w:pPr>
      <w:r>
        <w:t>Det som företag ef</w:t>
      </w:r>
      <w:r w:rsidR="00104013">
        <w:t>terfrågat är stabila spelregler, a</w:t>
      </w:r>
      <w:r>
        <w:t xml:space="preserve">tt då skriva in att revidering ska kunna ske redan efter 31/12 2023 är inte lämpligt. </w:t>
      </w:r>
    </w:p>
    <w:p w:rsidR="00122907" w:rsidRPr="00D062DE" w:rsidRDefault="00122907" w:rsidP="00D062DE">
      <w:pPr>
        <w:spacing w:after="200" w:line="276" w:lineRule="auto"/>
      </w:pPr>
    </w:p>
    <w:p w:rsidR="00D062DE" w:rsidRPr="00D062DE" w:rsidRDefault="00CB4063" w:rsidP="00D062DE">
      <w:pPr>
        <w:spacing w:after="200" w:line="276" w:lineRule="auto"/>
      </w:pPr>
      <w:r>
        <w:t>Svenska Trädbränsleföreningen</w:t>
      </w:r>
    </w:p>
    <w:p w:rsidR="00CB4063" w:rsidRDefault="00CB4063" w:rsidP="00D062DE">
      <w:r>
        <w:t>Karin Vestlund Ekerby, kanslichef</w:t>
      </w:r>
    </w:p>
    <w:p w:rsidR="00CB4063" w:rsidRDefault="00CB4063" w:rsidP="00D062DE">
      <w:r>
        <w:t>Sven Hogfors, styrelsens sekreterare</w:t>
      </w:r>
      <w:bookmarkStart w:id="0" w:name="_GoBack"/>
      <w:bookmarkEnd w:id="0"/>
      <w:r>
        <w:t xml:space="preserve"> </w:t>
      </w:r>
    </w:p>
    <w:p w:rsidR="00CB4063" w:rsidRDefault="00CB4063" w:rsidP="00D062DE"/>
    <w:p w:rsidR="00CB4063" w:rsidRDefault="00CB4063" w:rsidP="00D062DE"/>
    <w:p w:rsidR="00CB4063" w:rsidRDefault="00CB4063" w:rsidP="00D062DE"/>
    <w:p w:rsidR="00713F20" w:rsidRDefault="00D062DE" w:rsidP="00D062DE">
      <w:r w:rsidRPr="00D062DE">
        <w:br/>
      </w:r>
    </w:p>
    <w:p w:rsidR="00A47B88" w:rsidRDefault="00EA7964" w:rsidP="00DE0532">
      <w:r w:rsidRPr="00EA7964">
        <w:rPr>
          <w:rFonts w:ascii="Times New Roman" w:eastAsia="Times New Roman" w:hAnsi="Times New Roman" w:cs="Times New Roman"/>
          <w:sz w:val="20"/>
          <w:szCs w:val="20"/>
          <w:lang w:eastAsia="sv-SE"/>
        </w:rPr>
        <w:t>Svenska Trädbränsleföreningen är en branschförening för svenska producenter av trädbränsle till energiproduktion och som råvara till förädlade bränslen såsom briketter, pellets och pulver. Medlemmar är skogsbolag, skogsägarföreningar, Sveaskog, köpsågverk och andra biobränsle</w:t>
      </w:r>
      <w:r w:rsidRPr="00EA7964">
        <w:rPr>
          <w:rFonts w:ascii="Times New Roman" w:eastAsia="Times New Roman" w:hAnsi="Times New Roman" w:cs="Times New Roman"/>
          <w:sz w:val="20"/>
          <w:szCs w:val="20"/>
          <w:lang w:eastAsia="sv-SE"/>
        </w:rPr>
        <w:softHyphen/>
        <w:t xml:space="preserve">aktörer. Fullständig förteckning finns på </w:t>
      </w:r>
      <w:hyperlink r:id="rId11" w:history="1">
        <w:r w:rsidRPr="00EA7964">
          <w:rPr>
            <w:rFonts w:ascii="Times New Roman" w:eastAsia="Times New Roman" w:hAnsi="Times New Roman" w:cs="Times New Roman"/>
            <w:color w:val="0000FF"/>
            <w:sz w:val="20"/>
            <w:szCs w:val="20"/>
            <w:u w:val="single"/>
            <w:lang w:eastAsia="sv-SE"/>
          </w:rPr>
          <w:t>www.tradbransle.se</w:t>
        </w:r>
      </w:hyperlink>
      <w:r w:rsidRPr="00EA7964">
        <w:rPr>
          <w:rFonts w:ascii="Times New Roman" w:eastAsia="Times New Roman" w:hAnsi="Times New Roman" w:cs="Times New Roman"/>
          <w:sz w:val="20"/>
          <w:szCs w:val="20"/>
          <w:lang w:eastAsia="sv-SE"/>
        </w:rPr>
        <w:t>.</w:t>
      </w:r>
    </w:p>
    <w:sectPr w:rsidR="00A47B88" w:rsidSect="00564B3A">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A0" w:rsidRDefault="003068A0" w:rsidP="00605950">
      <w:pPr>
        <w:spacing w:after="0"/>
      </w:pPr>
      <w:r>
        <w:separator/>
      </w:r>
    </w:p>
  </w:endnote>
  <w:endnote w:type="continuationSeparator" w:id="0">
    <w:p w:rsidR="003068A0" w:rsidRDefault="003068A0" w:rsidP="00605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290853"/>
      <w:docPartObj>
        <w:docPartGallery w:val="Page Numbers (Bottom of Page)"/>
        <w:docPartUnique/>
      </w:docPartObj>
    </w:sdtPr>
    <w:sdtEndPr>
      <w:rPr>
        <w:color w:val="7F7F7F" w:themeColor="text1" w:themeTint="80"/>
      </w:rPr>
    </w:sdtEndPr>
    <w:sdtContent>
      <w:p w:rsidR="00564B3A" w:rsidRDefault="00564B3A" w:rsidP="00713F20">
        <w:pPr>
          <w:pStyle w:val="Sidfot"/>
        </w:pPr>
      </w:p>
      <w:p w:rsidR="00713F20" w:rsidRPr="00713F20" w:rsidRDefault="00713F20" w:rsidP="00713F20">
        <w:pPr>
          <w:pStyle w:val="Sidfot"/>
          <w:rPr>
            <w:color w:val="7F7F7F" w:themeColor="text1" w:themeTint="80"/>
          </w:rPr>
        </w:pPr>
        <w:r w:rsidRPr="00713F20">
          <w:rPr>
            <w:color w:val="7F7F7F" w:themeColor="text1" w:themeTint="80"/>
          </w:rPr>
          <w:t>Svenska Trädbränsleföreningen, 105 33 Stockholm</w:t>
        </w:r>
      </w:p>
      <w:p w:rsidR="00AC66E9" w:rsidRPr="00713F20" w:rsidRDefault="00D062DE" w:rsidP="00713F20">
        <w:pPr>
          <w:pStyle w:val="Sidfot"/>
          <w:rPr>
            <w:color w:val="7F7F7F" w:themeColor="text1" w:themeTint="80"/>
          </w:rPr>
        </w:pPr>
        <w:r>
          <w:rPr>
            <w:color w:val="7F7F7F" w:themeColor="text1" w:themeTint="80"/>
          </w:rPr>
          <w:t>08-787 5904 / 070-543 3038</w:t>
        </w:r>
        <w:r>
          <w:rPr>
            <w:color w:val="7F7F7F" w:themeColor="text1" w:themeTint="80"/>
          </w:rPr>
          <w:tab/>
        </w:r>
        <w:hyperlink r:id="rId1" w:history="1">
          <w:r w:rsidR="00713F20" w:rsidRPr="00713F20">
            <w:rPr>
              <w:rStyle w:val="Hyperlnk"/>
              <w:color w:val="7F7F7F" w:themeColor="text1" w:themeTint="80"/>
            </w:rPr>
            <w:t>www.tradbransle.se</w:t>
          </w:r>
        </w:hyperlink>
        <w:r w:rsidR="00713F20" w:rsidRPr="00713F20">
          <w:rPr>
            <w:color w:val="7F7F7F" w:themeColor="text1" w:themeTint="80"/>
          </w:rPr>
          <w:t xml:space="preserve"> </w:t>
        </w:r>
        <w:r w:rsidR="00713F20" w:rsidRPr="00713F20">
          <w:rPr>
            <w:color w:val="7F7F7F" w:themeColor="text1" w:themeTint="80"/>
          </w:rPr>
          <w:tab/>
        </w:r>
        <w:sdt>
          <w:sdtPr>
            <w:rPr>
              <w:color w:val="7F7F7F" w:themeColor="text1" w:themeTint="80"/>
            </w:rPr>
            <w:id w:val="1079017424"/>
            <w:docPartObj>
              <w:docPartGallery w:val="Page Numbers (Top of Page)"/>
              <w:docPartUnique/>
            </w:docPartObj>
          </w:sdtPr>
          <w:sdtEndPr/>
          <w:sdtContent>
            <w:r w:rsidR="00AC66E9" w:rsidRPr="00713F20">
              <w:rPr>
                <w:bCs/>
                <w:color w:val="7F7F7F" w:themeColor="text1" w:themeTint="80"/>
                <w:sz w:val="24"/>
                <w:szCs w:val="24"/>
              </w:rPr>
              <w:fldChar w:fldCharType="begin"/>
            </w:r>
            <w:r w:rsidR="00AC66E9" w:rsidRPr="00713F20">
              <w:rPr>
                <w:bCs/>
                <w:color w:val="7F7F7F" w:themeColor="text1" w:themeTint="80"/>
              </w:rPr>
              <w:instrText>PAGE</w:instrText>
            </w:r>
            <w:r w:rsidR="00AC66E9" w:rsidRPr="00713F20">
              <w:rPr>
                <w:bCs/>
                <w:color w:val="7F7F7F" w:themeColor="text1" w:themeTint="80"/>
                <w:sz w:val="24"/>
                <w:szCs w:val="24"/>
              </w:rPr>
              <w:fldChar w:fldCharType="separate"/>
            </w:r>
            <w:r w:rsidR="00CB4063">
              <w:rPr>
                <w:bCs/>
                <w:noProof/>
                <w:color w:val="7F7F7F" w:themeColor="text1" w:themeTint="80"/>
              </w:rPr>
              <w:t>2</w:t>
            </w:r>
            <w:r w:rsidR="00AC66E9" w:rsidRPr="00713F20">
              <w:rPr>
                <w:bCs/>
                <w:color w:val="7F7F7F" w:themeColor="text1" w:themeTint="80"/>
                <w:sz w:val="24"/>
                <w:szCs w:val="24"/>
              </w:rPr>
              <w:fldChar w:fldCharType="end"/>
            </w:r>
            <w:r w:rsidR="00AC66E9" w:rsidRPr="00713F20">
              <w:rPr>
                <w:color w:val="7F7F7F" w:themeColor="text1" w:themeTint="80"/>
              </w:rPr>
              <w:t xml:space="preserve"> (</w:t>
            </w:r>
            <w:r w:rsidR="00AC66E9" w:rsidRPr="00713F20">
              <w:rPr>
                <w:bCs/>
                <w:color w:val="7F7F7F" w:themeColor="text1" w:themeTint="80"/>
                <w:sz w:val="24"/>
                <w:szCs w:val="24"/>
              </w:rPr>
              <w:fldChar w:fldCharType="begin"/>
            </w:r>
            <w:r w:rsidR="00AC66E9" w:rsidRPr="00713F20">
              <w:rPr>
                <w:bCs/>
                <w:color w:val="7F7F7F" w:themeColor="text1" w:themeTint="80"/>
              </w:rPr>
              <w:instrText>NUMPAGES</w:instrText>
            </w:r>
            <w:r w:rsidR="00AC66E9" w:rsidRPr="00713F20">
              <w:rPr>
                <w:bCs/>
                <w:color w:val="7F7F7F" w:themeColor="text1" w:themeTint="80"/>
                <w:sz w:val="24"/>
                <w:szCs w:val="24"/>
              </w:rPr>
              <w:fldChar w:fldCharType="separate"/>
            </w:r>
            <w:r w:rsidR="00CB4063">
              <w:rPr>
                <w:bCs/>
                <w:noProof/>
                <w:color w:val="7F7F7F" w:themeColor="text1" w:themeTint="80"/>
              </w:rPr>
              <w:t>2</w:t>
            </w:r>
            <w:r w:rsidR="00AC66E9" w:rsidRPr="00713F20">
              <w:rPr>
                <w:bCs/>
                <w:color w:val="7F7F7F" w:themeColor="text1" w:themeTint="80"/>
                <w:sz w:val="24"/>
                <w:szCs w:val="24"/>
              </w:rPr>
              <w:fldChar w:fldCharType="end"/>
            </w:r>
            <w:r w:rsidR="00AC66E9" w:rsidRPr="00713F20">
              <w:rPr>
                <w:bCs/>
                <w:color w:val="7F7F7F" w:themeColor="text1" w:themeTint="80"/>
                <w:sz w:val="24"/>
                <w:szCs w:val="24"/>
              </w:rPr>
              <w:t>)</w:t>
            </w:r>
          </w:sdtContent>
        </w:sdt>
      </w:p>
    </w:sdtContent>
  </w:sdt>
  <w:p w:rsidR="00AC66E9" w:rsidRPr="00AC66E9" w:rsidRDefault="00AC66E9" w:rsidP="00713F2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A0" w:rsidRDefault="003068A0" w:rsidP="00605950">
      <w:pPr>
        <w:spacing w:after="0"/>
      </w:pPr>
      <w:r>
        <w:separator/>
      </w:r>
    </w:p>
  </w:footnote>
  <w:footnote w:type="continuationSeparator" w:id="0">
    <w:p w:rsidR="003068A0" w:rsidRDefault="003068A0" w:rsidP="00605950">
      <w:pPr>
        <w:spacing w:after="0"/>
      </w:pPr>
      <w:r>
        <w:continuationSeparator/>
      </w:r>
    </w:p>
  </w:footnote>
  <w:footnote w:id="1">
    <w:p w:rsidR="00427484" w:rsidRPr="00564B3A" w:rsidRDefault="00427484" w:rsidP="00427484">
      <w:pPr>
        <w:pStyle w:val="Fotnotstext"/>
        <w:rPr>
          <w:sz w:val="16"/>
        </w:rPr>
      </w:pPr>
      <w:r w:rsidRPr="00564B3A">
        <w:rPr>
          <w:rStyle w:val="Fotnotsreferens"/>
          <w:sz w:val="16"/>
        </w:rPr>
        <w:footnoteRef/>
      </w:r>
      <w:r w:rsidRPr="00564B3A">
        <w:rPr>
          <w:sz w:val="16"/>
        </w:rPr>
        <w:t xml:space="preserve"> </w:t>
      </w:r>
      <w:hyperlink r:id="rId1" w:history="1">
        <w:r w:rsidRPr="00564B3A">
          <w:rPr>
            <w:rStyle w:val="Hyperlnk"/>
            <w:sz w:val="16"/>
          </w:rPr>
          <w:t>http://ec.europa.eu/environment/forests/pdf/EUTR_Leaflet_SV.pdf</w:t>
        </w:r>
      </w:hyperlink>
      <w:r w:rsidRPr="00564B3A">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50" w:rsidRDefault="00605950" w:rsidP="00850BFB">
    <w:pPr>
      <w:pStyle w:val="Sidhuvud"/>
    </w:pPr>
    <w:r>
      <w:rPr>
        <w:noProof/>
        <w:lang w:eastAsia="sv-SE"/>
      </w:rPr>
      <w:drawing>
        <wp:anchor distT="0" distB="0" distL="114300" distR="114300" simplePos="0" relativeHeight="251658240" behindDoc="1" locked="0" layoutInCell="1" allowOverlap="1" wp14:anchorId="431C8E4E" wp14:editId="398C1C0F">
          <wp:simplePos x="0" y="0"/>
          <wp:positionH relativeFrom="column">
            <wp:posOffset>3379470</wp:posOffset>
          </wp:positionH>
          <wp:positionV relativeFrom="topMargin">
            <wp:posOffset>551815</wp:posOffset>
          </wp:positionV>
          <wp:extent cx="2530800" cy="500400"/>
          <wp:effectExtent l="0" t="0" r="3175" b="0"/>
          <wp:wrapTight wrapText="right">
            <wp:wrapPolygon edited="0">
              <wp:start x="16911" y="0"/>
              <wp:lineTo x="325" y="12335"/>
              <wp:lineTo x="163" y="18091"/>
              <wp:lineTo x="14960" y="19736"/>
              <wp:lineTo x="21464" y="19736"/>
              <wp:lineTo x="21464" y="0"/>
              <wp:lineTo x="16911"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800" cy="50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507"/>
    <w:multiLevelType w:val="hybridMultilevel"/>
    <w:tmpl w:val="0D609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374D58"/>
    <w:multiLevelType w:val="hybridMultilevel"/>
    <w:tmpl w:val="564C29E4"/>
    <w:lvl w:ilvl="0" w:tplc="57E208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AC06EA"/>
    <w:multiLevelType w:val="hybridMultilevel"/>
    <w:tmpl w:val="ECF88F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0"/>
    <w:rsid w:val="00036ACC"/>
    <w:rsid w:val="00087D92"/>
    <w:rsid w:val="00087F9D"/>
    <w:rsid w:val="000B41D9"/>
    <w:rsid w:val="000F2FAA"/>
    <w:rsid w:val="00104013"/>
    <w:rsid w:val="00114988"/>
    <w:rsid w:val="00122907"/>
    <w:rsid w:val="00153485"/>
    <w:rsid w:val="001724A2"/>
    <w:rsid w:val="00180B56"/>
    <w:rsid w:val="00190F96"/>
    <w:rsid w:val="00195AAD"/>
    <w:rsid w:val="001C44B8"/>
    <w:rsid w:val="001C69EF"/>
    <w:rsid w:val="001D4584"/>
    <w:rsid w:val="001D6814"/>
    <w:rsid w:val="002203AE"/>
    <w:rsid w:val="002546A5"/>
    <w:rsid w:val="00260C43"/>
    <w:rsid w:val="002A524C"/>
    <w:rsid w:val="002B1817"/>
    <w:rsid w:val="0030525E"/>
    <w:rsid w:val="003068A0"/>
    <w:rsid w:val="00314F46"/>
    <w:rsid w:val="00316FD1"/>
    <w:rsid w:val="003442DA"/>
    <w:rsid w:val="00345427"/>
    <w:rsid w:val="003715FF"/>
    <w:rsid w:val="00376A99"/>
    <w:rsid w:val="0038111D"/>
    <w:rsid w:val="003A6760"/>
    <w:rsid w:val="003B5C11"/>
    <w:rsid w:val="003E314C"/>
    <w:rsid w:val="003E7FA4"/>
    <w:rsid w:val="0041749B"/>
    <w:rsid w:val="00427484"/>
    <w:rsid w:val="00437E5E"/>
    <w:rsid w:val="00446723"/>
    <w:rsid w:val="00450383"/>
    <w:rsid w:val="004555A6"/>
    <w:rsid w:val="00491032"/>
    <w:rsid w:val="004B231B"/>
    <w:rsid w:val="004D2831"/>
    <w:rsid w:val="00500F0C"/>
    <w:rsid w:val="00554DD9"/>
    <w:rsid w:val="00557766"/>
    <w:rsid w:val="00560A2B"/>
    <w:rsid w:val="00564B3A"/>
    <w:rsid w:val="0057741B"/>
    <w:rsid w:val="005917D4"/>
    <w:rsid w:val="005B74B2"/>
    <w:rsid w:val="005D411C"/>
    <w:rsid w:val="005E49D1"/>
    <w:rsid w:val="005E5888"/>
    <w:rsid w:val="00605950"/>
    <w:rsid w:val="0061495F"/>
    <w:rsid w:val="00614991"/>
    <w:rsid w:val="00633331"/>
    <w:rsid w:val="006363FE"/>
    <w:rsid w:val="0064579E"/>
    <w:rsid w:val="006607EF"/>
    <w:rsid w:val="006802F6"/>
    <w:rsid w:val="006A4F04"/>
    <w:rsid w:val="006A5128"/>
    <w:rsid w:val="006C0A9E"/>
    <w:rsid w:val="006C3AAD"/>
    <w:rsid w:val="006E1271"/>
    <w:rsid w:val="00701C23"/>
    <w:rsid w:val="00713F20"/>
    <w:rsid w:val="007464A7"/>
    <w:rsid w:val="00751BE8"/>
    <w:rsid w:val="00755849"/>
    <w:rsid w:val="007565A8"/>
    <w:rsid w:val="00782787"/>
    <w:rsid w:val="007D01FA"/>
    <w:rsid w:val="007D2C5A"/>
    <w:rsid w:val="007F4CA6"/>
    <w:rsid w:val="008218C8"/>
    <w:rsid w:val="008236F3"/>
    <w:rsid w:val="00832D09"/>
    <w:rsid w:val="00850BFB"/>
    <w:rsid w:val="00860392"/>
    <w:rsid w:val="00872225"/>
    <w:rsid w:val="008914E3"/>
    <w:rsid w:val="0089387F"/>
    <w:rsid w:val="00896287"/>
    <w:rsid w:val="008C195B"/>
    <w:rsid w:val="008D0F3C"/>
    <w:rsid w:val="008F6274"/>
    <w:rsid w:val="00924883"/>
    <w:rsid w:val="0094354B"/>
    <w:rsid w:val="009728E4"/>
    <w:rsid w:val="00981A45"/>
    <w:rsid w:val="00981BF8"/>
    <w:rsid w:val="0098391D"/>
    <w:rsid w:val="00996EB1"/>
    <w:rsid w:val="009A6C9C"/>
    <w:rsid w:val="009B23A3"/>
    <w:rsid w:val="009C162C"/>
    <w:rsid w:val="009D2F1D"/>
    <w:rsid w:val="00A002E9"/>
    <w:rsid w:val="00A0131B"/>
    <w:rsid w:val="00A24EEB"/>
    <w:rsid w:val="00A47B88"/>
    <w:rsid w:val="00A54DBB"/>
    <w:rsid w:val="00A75CCB"/>
    <w:rsid w:val="00A77769"/>
    <w:rsid w:val="00A83AF2"/>
    <w:rsid w:val="00AC66E9"/>
    <w:rsid w:val="00AF70D5"/>
    <w:rsid w:val="00B01159"/>
    <w:rsid w:val="00B5050D"/>
    <w:rsid w:val="00B52C91"/>
    <w:rsid w:val="00B55F38"/>
    <w:rsid w:val="00B56DF3"/>
    <w:rsid w:val="00BA0591"/>
    <w:rsid w:val="00BA13CE"/>
    <w:rsid w:val="00BB7E64"/>
    <w:rsid w:val="00BE1A6A"/>
    <w:rsid w:val="00C05DFA"/>
    <w:rsid w:val="00C57AFD"/>
    <w:rsid w:val="00C62629"/>
    <w:rsid w:val="00C96EC0"/>
    <w:rsid w:val="00CA14F5"/>
    <w:rsid w:val="00CB326E"/>
    <w:rsid w:val="00CB4063"/>
    <w:rsid w:val="00CC385C"/>
    <w:rsid w:val="00CD7FAD"/>
    <w:rsid w:val="00CE06C6"/>
    <w:rsid w:val="00CE38EB"/>
    <w:rsid w:val="00CE5182"/>
    <w:rsid w:val="00D062DE"/>
    <w:rsid w:val="00D121B6"/>
    <w:rsid w:val="00D278E0"/>
    <w:rsid w:val="00D33B03"/>
    <w:rsid w:val="00D735C5"/>
    <w:rsid w:val="00D73603"/>
    <w:rsid w:val="00D754F9"/>
    <w:rsid w:val="00D8137A"/>
    <w:rsid w:val="00D81A12"/>
    <w:rsid w:val="00D96363"/>
    <w:rsid w:val="00D964FB"/>
    <w:rsid w:val="00DD21B1"/>
    <w:rsid w:val="00DE0532"/>
    <w:rsid w:val="00DE4790"/>
    <w:rsid w:val="00E17EF4"/>
    <w:rsid w:val="00E42083"/>
    <w:rsid w:val="00E47DB0"/>
    <w:rsid w:val="00E5153F"/>
    <w:rsid w:val="00E63ACA"/>
    <w:rsid w:val="00E72C55"/>
    <w:rsid w:val="00E76C3A"/>
    <w:rsid w:val="00E87EEE"/>
    <w:rsid w:val="00E94B0F"/>
    <w:rsid w:val="00E96EBE"/>
    <w:rsid w:val="00EA6E56"/>
    <w:rsid w:val="00EA7964"/>
    <w:rsid w:val="00ED4FA1"/>
    <w:rsid w:val="00EF64A1"/>
    <w:rsid w:val="00EF7F7A"/>
    <w:rsid w:val="00F03B84"/>
    <w:rsid w:val="00F26C78"/>
    <w:rsid w:val="00F42EF6"/>
    <w:rsid w:val="00F52A46"/>
    <w:rsid w:val="00F87E04"/>
    <w:rsid w:val="00FA735A"/>
    <w:rsid w:val="00FC3540"/>
    <w:rsid w:val="00FF4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C5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3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E49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50"/>
    <w:pPr>
      <w:tabs>
        <w:tab w:val="center" w:pos="4536"/>
        <w:tab w:val="right" w:pos="9072"/>
      </w:tabs>
      <w:spacing w:after="0"/>
    </w:pPr>
  </w:style>
  <w:style w:type="character" w:customStyle="1" w:styleId="SidhuvudChar">
    <w:name w:val="Sidhuvud Char"/>
    <w:basedOn w:val="Standardstycketeckensnitt"/>
    <w:link w:val="Sidhuvud"/>
    <w:uiPriority w:val="99"/>
    <w:rsid w:val="00605950"/>
  </w:style>
  <w:style w:type="paragraph" w:styleId="Sidfot">
    <w:name w:val="footer"/>
    <w:basedOn w:val="Normal"/>
    <w:link w:val="SidfotChar"/>
    <w:uiPriority w:val="99"/>
    <w:unhideWhenUsed/>
    <w:rsid w:val="00605950"/>
    <w:pPr>
      <w:tabs>
        <w:tab w:val="center" w:pos="4536"/>
        <w:tab w:val="right" w:pos="9072"/>
      </w:tabs>
      <w:spacing w:after="0"/>
    </w:pPr>
  </w:style>
  <w:style w:type="character" w:customStyle="1" w:styleId="SidfotChar">
    <w:name w:val="Sidfot Char"/>
    <w:basedOn w:val="Standardstycketeckensnitt"/>
    <w:link w:val="Sidfot"/>
    <w:uiPriority w:val="99"/>
    <w:rsid w:val="00605950"/>
  </w:style>
  <w:style w:type="paragraph" w:styleId="Rubrik">
    <w:name w:val="Title"/>
    <w:basedOn w:val="Normal"/>
    <w:next w:val="Normal"/>
    <w:link w:val="RubrikChar"/>
    <w:uiPriority w:val="10"/>
    <w:qFormat/>
    <w:rsid w:val="006059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05950"/>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605950"/>
    <w:pPr>
      <w:ind w:left="720"/>
      <w:contextualSpacing/>
    </w:pPr>
  </w:style>
  <w:style w:type="character" w:customStyle="1" w:styleId="Rubrik1Char">
    <w:name w:val="Rubrik 1 Char"/>
    <w:basedOn w:val="Standardstycketeckensnitt"/>
    <w:link w:val="Rubrik1"/>
    <w:uiPriority w:val="9"/>
    <w:rsid w:val="006C3AAD"/>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5E49D1"/>
    <w:pPr>
      <w:spacing w:after="0"/>
    </w:pPr>
  </w:style>
  <w:style w:type="character" w:customStyle="1" w:styleId="Rubrik2Char">
    <w:name w:val="Rubrik 2 Char"/>
    <w:basedOn w:val="Standardstycketeckensnitt"/>
    <w:link w:val="Rubrik2"/>
    <w:uiPriority w:val="9"/>
    <w:rsid w:val="005E49D1"/>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5E49D1"/>
    <w:rPr>
      <w:color w:val="0000FF" w:themeColor="hyperlink"/>
      <w:u w:val="single"/>
    </w:rPr>
  </w:style>
  <w:style w:type="character" w:customStyle="1" w:styleId="hps">
    <w:name w:val="hps"/>
    <w:basedOn w:val="Standardstycketeckensnitt"/>
    <w:rsid w:val="007565A8"/>
  </w:style>
  <w:style w:type="character" w:styleId="AnvndHyperlnk">
    <w:name w:val="FollowedHyperlink"/>
    <w:basedOn w:val="Standardstycketeckensnitt"/>
    <w:uiPriority w:val="99"/>
    <w:semiHidden/>
    <w:unhideWhenUsed/>
    <w:rsid w:val="007565A8"/>
    <w:rPr>
      <w:color w:val="800080" w:themeColor="followedHyperlink"/>
      <w:u w:val="single"/>
    </w:rPr>
  </w:style>
  <w:style w:type="paragraph" w:styleId="Fotnotstext">
    <w:name w:val="footnote text"/>
    <w:basedOn w:val="Normal"/>
    <w:link w:val="FotnotstextChar"/>
    <w:uiPriority w:val="99"/>
    <w:semiHidden/>
    <w:unhideWhenUsed/>
    <w:rsid w:val="00E42083"/>
    <w:pPr>
      <w:spacing w:after="0"/>
    </w:pPr>
    <w:rPr>
      <w:sz w:val="20"/>
      <w:szCs w:val="20"/>
    </w:rPr>
  </w:style>
  <w:style w:type="character" w:customStyle="1" w:styleId="FotnotstextChar">
    <w:name w:val="Fotnotstext Char"/>
    <w:basedOn w:val="Standardstycketeckensnitt"/>
    <w:link w:val="Fotnotstext"/>
    <w:uiPriority w:val="99"/>
    <w:semiHidden/>
    <w:rsid w:val="00E42083"/>
    <w:rPr>
      <w:sz w:val="20"/>
      <w:szCs w:val="20"/>
    </w:rPr>
  </w:style>
  <w:style w:type="character" w:styleId="Fotnotsreferens">
    <w:name w:val="footnote reference"/>
    <w:basedOn w:val="Standardstycketeckensnitt"/>
    <w:uiPriority w:val="99"/>
    <w:semiHidden/>
    <w:unhideWhenUsed/>
    <w:rsid w:val="00E42083"/>
    <w:rPr>
      <w:vertAlign w:val="superscript"/>
    </w:rPr>
  </w:style>
  <w:style w:type="table" w:styleId="Tabellrutnt">
    <w:name w:val="Table Grid"/>
    <w:basedOn w:val="Normaltabell"/>
    <w:uiPriority w:val="59"/>
    <w:rsid w:val="00D33B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72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28E4"/>
    <w:rPr>
      <w:rFonts w:ascii="Tahoma" w:hAnsi="Tahoma" w:cs="Tahoma"/>
      <w:sz w:val="16"/>
      <w:szCs w:val="16"/>
    </w:rPr>
  </w:style>
  <w:style w:type="paragraph" w:customStyle="1" w:styleId="Default">
    <w:name w:val="Default"/>
    <w:rsid w:val="005B74B2"/>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gistrator@regeringskansliet.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bransle.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en-olov.ericson@regeringskansliet.se" TargetMode="External"/><Relationship Id="rId4" Type="http://schemas.openxmlformats.org/officeDocument/2006/relationships/settings" Target="settings.xml"/><Relationship Id="rId9" Type="http://schemas.openxmlformats.org/officeDocument/2006/relationships/hyperlink" Target="mailto:bjorn.telenius@regeringskansliet.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dbransle.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forests/pdf/EUTR_Leaflet_S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C59E-7BCF-42FA-9779-7BB45230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4032</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2016-12-21T12:55:00Z</dcterms:created>
  <dcterms:modified xsi:type="dcterms:W3CDTF">2016-12-21T12:55:00Z</dcterms:modified>
</cp:coreProperties>
</file>